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A9E1" w14:textId="410832A3" w:rsidR="004261C0" w:rsidRPr="004261C0" w:rsidRDefault="004261C0" w:rsidP="004261C0">
      <w:pPr>
        <w:jc w:val="center"/>
        <w:rPr>
          <w:rFonts w:ascii="Calibri" w:hAnsi="Calibri" w:cs="Calibri"/>
          <w:b/>
          <w:bCs/>
        </w:rPr>
      </w:pPr>
      <w:bookmarkStart w:id="0" w:name="_Hlk81394762"/>
      <w:r w:rsidRPr="004261C0">
        <w:rPr>
          <w:rFonts w:ascii="Calibri" w:hAnsi="Calibri" w:cs="Calibri"/>
          <w:b/>
          <w:bCs/>
        </w:rPr>
        <w:t>TOWNSHIP OF NEPTUNE</w:t>
      </w:r>
    </w:p>
    <w:p w14:paraId="63AAD36F" w14:textId="77777777" w:rsidR="004261C0" w:rsidRPr="004261C0" w:rsidRDefault="004261C0" w:rsidP="004261C0">
      <w:pPr>
        <w:jc w:val="center"/>
        <w:rPr>
          <w:rFonts w:ascii="Calibri" w:hAnsi="Calibri" w:cs="Calibri"/>
          <w:b/>
          <w:bCs/>
        </w:rPr>
      </w:pPr>
    </w:p>
    <w:p w14:paraId="24876C5C" w14:textId="6535DE29" w:rsidR="004261C0" w:rsidRPr="004261C0" w:rsidRDefault="004261C0" w:rsidP="004261C0">
      <w:pPr>
        <w:jc w:val="center"/>
        <w:rPr>
          <w:rFonts w:ascii="Calibri" w:hAnsi="Calibri" w:cs="Calibri"/>
          <w:b/>
          <w:bCs/>
        </w:rPr>
      </w:pPr>
      <w:r w:rsidRPr="004261C0">
        <w:rPr>
          <w:rFonts w:ascii="Calibri" w:hAnsi="Calibri" w:cs="Calibri"/>
          <w:b/>
          <w:bCs/>
        </w:rPr>
        <w:t>ORDINANCE 2</w:t>
      </w:r>
      <w:r w:rsidRPr="004261C0">
        <w:rPr>
          <w:rFonts w:ascii="Calibri" w:hAnsi="Calibri" w:cs="Calibri"/>
          <w:b/>
          <w:bCs/>
        </w:rPr>
        <w:t>6-10</w:t>
      </w:r>
    </w:p>
    <w:p w14:paraId="44343A66" w14:textId="7A54BD64" w:rsidR="00A67707" w:rsidRPr="004261C0" w:rsidRDefault="004261C0" w:rsidP="004261C0">
      <w:pPr>
        <w:jc w:val="center"/>
        <w:rPr>
          <w:rFonts w:ascii="Calibri" w:hAnsi="Calibri" w:cs="Calibri"/>
          <w:b/>
          <w:bCs/>
        </w:rPr>
      </w:pPr>
      <w:r w:rsidRPr="004261C0">
        <w:rPr>
          <w:rFonts w:ascii="Calibri" w:hAnsi="Calibri" w:cs="Calibri"/>
          <w:b/>
          <w:bCs/>
        </w:rPr>
        <w:t>AN ORDINANCE TO AMEND THE LAND DEVELOPMENT ORDINANCE OF THE TOWNSHIP OF NEPTUNE BY ESTABLISHING A NEW ZONING DISTRICT ENTITLED “AFFORDABLE HOUSING ZONE – 4 (AH-4) WITHIN THE TOWNSIHP OF NEPTUNE, MONMOUTH COUNTY, NEW JERSEY</w:t>
      </w:r>
    </w:p>
    <w:p w14:paraId="22B13532" w14:textId="77777777" w:rsidR="00A67707" w:rsidRPr="004261C0" w:rsidRDefault="00A67707" w:rsidP="004261C0">
      <w:pPr>
        <w:jc w:val="center"/>
        <w:rPr>
          <w:rFonts w:ascii="Calibri" w:hAnsi="Calibri" w:cs="Calibri"/>
        </w:rPr>
      </w:pPr>
    </w:p>
    <w:p w14:paraId="0352865A" w14:textId="77777777" w:rsidR="00A67707" w:rsidRPr="004261C0" w:rsidRDefault="00A67707" w:rsidP="004261C0">
      <w:pPr>
        <w:ind w:left="360" w:firstLine="360"/>
        <w:rPr>
          <w:rFonts w:ascii="Calibri" w:hAnsi="Calibri" w:cs="Calibri"/>
        </w:rPr>
      </w:pPr>
      <w:r w:rsidRPr="004261C0">
        <w:rPr>
          <w:rFonts w:ascii="Calibri" w:hAnsi="Calibri" w:cs="Calibri"/>
          <w:b/>
          <w:bCs/>
        </w:rPr>
        <w:t xml:space="preserve">  WHEREAS,</w:t>
      </w:r>
      <w:r w:rsidRPr="004261C0">
        <w:rPr>
          <w:rFonts w:ascii="Calibri" w:hAnsi="Calibri" w:cs="Calibri"/>
        </w:rPr>
        <w:t xml:space="preserve"> Neptune Township’s Land Development Ordinance and Regulations include standards that control the location, scale, and type of land uses within the Township; and </w:t>
      </w:r>
    </w:p>
    <w:p w14:paraId="61E6F8B3" w14:textId="77777777" w:rsidR="004261C0" w:rsidRDefault="004261C0" w:rsidP="004261C0">
      <w:pPr>
        <w:ind w:left="360" w:firstLine="360"/>
        <w:rPr>
          <w:rFonts w:ascii="Calibri" w:hAnsi="Calibri" w:cs="Calibri"/>
          <w:b/>
          <w:bCs/>
        </w:rPr>
      </w:pPr>
    </w:p>
    <w:p w14:paraId="0FF8CD3E" w14:textId="24FB9099" w:rsidR="00A67707" w:rsidRPr="004261C0" w:rsidRDefault="00A67707" w:rsidP="004261C0">
      <w:pPr>
        <w:ind w:left="360" w:firstLine="360"/>
        <w:rPr>
          <w:rFonts w:ascii="Calibri" w:hAnsi="Calibri" w:cs="Calibri"/>
        </w:rPr>
      </w:pPr>
      <w:r w:rsidRPr="004261C0">
        <w:rPr>
          <w:rFonts w:ascii="Calibri" w:hAnsi="Calibri" w:cs="Calibri"/>
          <w:b/>
          <w:bCs/>
        </w:rPr>
        <w:t xml:space="preserve">  WHEREAS, </w:t>
      </w:r>
      <w:r w:rsidRPr="004261C0">
        <w:rPr>
          <w:rFonts w:ascii="Calibri" w:hAnsi="Calibri" w:cs="Calibri"/>
        </w:rPr>
        <w:t xml:space="preserve">in accordance with section 40:55D-62 of the Municipal Land Use Law, the Neptune Township Committee is charged with adopting zoning standards ordinances relating to </w:t>
      </w:r>
      <w:proofErr w:type="gramStart"/>
      <w:r w:rsidRPr="004261C0">
        <w:rPr>
          <w:rFonts w:ascii="Calibri" w:hAnsi="Calibri" w:cs="Calibri"/>
        </w:rPr>
        <w:t>the nature</w:t>
      </w:r>
      <w:proofErr w:type="gramEnd"/>
      <w:r w:rsidRPr="004261C0">
        <w:rPr>
          <w:rFonts w:ascii="Calibri" w:hAnsi="Calibri" w:cs="Calibri"/>
        </w:rPr>
        <w:t xml:space="preserve"> and extent of the uses of the land and of buildings and structures thereon </w:t>
      </w:r>
      <w:proofErr w:type="gramStart"/>
      <w:r w:rsidRPr="004261C0">
        <w:rPr>
          <w:rFonts w:ascii="Calibri" w:hAnsi="Calibri" w:cs="Calibri"/>
        </w:rPr>
        <w:t>in order to</w:t>
      </w:r>
      <w:proofErr w:type="gramEnd"/>
      <w:r w:rsidRPr="004261C0">
        <w:rPr>
          <w:rFonts w:ascii="Calibri" w:hAnsi="Calibri" w:cs="Calibri"/>
        </w:rPr>
        <w:t xml:space="preserve"> protect the general health, safety, and welfare of the public.</w:t>
      </w:r>
    </w:p>
    <w:p w14:paraId="495F1580" w14:textId="77777777" w:rsidR="004261C0" w:rsidRDefault="004261C0" w:rsidP="004261C0">
      <w:pPr>
        <w:ind w:left="360" w:firstLine="360"/>
        <w:rPr>
          <w:rFonts w:ascii="Calibri" w:hAnsi="Calibri" w:cs="Calibri"/>
          <w:b/>
          <w:bCs/>
        </w:rPr>
      </w:pPr>
    </w:p>
    <w:p w14:paraId="56E66CE3" w14:textId="74DFD0ED" w:rsidR="00A67707" w:rsidRPr="004261C0" w:rsidRDefault="00A67707" w:rsidP="004261C0">
      <w:pPr>
        <w:ind w:left="360" w:firstLine="360"/>
        <w:rPr>
          <w:rFonts w:ascii="Calibri" w:hAnsi="Calibri" w:cs="Calibri"/>
        </w:rPr>
      </w:pPr>
      <w:r w:rsidRPr="004261C0">
        <w:rPr>
          <w:rFonts w:ascii="Calibri" w:hAnsi="Calibri" w:cs="Calibri"/>
          <w:b/>
          <w:bCs/>
        </w:rPr>
        <w:t xml:space="preserve">NOW, THEREFORE </w:t>
      </w:r>
      <w:proofErr w:type="gramStart"/>
      <w:r w:rsidRPr="004261C0">
        <w:rPr>
          <w:rFonts w:ascii="Calibri" w:hAnsi="Calibri" w:cs="Calibri"/>
          <w:b/>
          <w:bCs/>
        </w:rPr>
        <w:t>BE IT</w:t>
      </w:r>
      <w:proofErr w:type="gramEnd"/>
      <w:r w:rsidRPr="004261C0">
        <w:rPr>
          <w:rFonts w:ascii="Calibri" w:hAnsi="Calibri" w:cs="Calibri"/>
          <w:b/>
          <w:bCs/>
        </w:rPr>
        <w:t xml:space="preserve"> ORDAINED </w:t>
      </w:r>
      <w:r w:rsidRPr="004261C0">
        <w:rPr>
          <w:rFonts w:ascii="Calibri" w:hAnsi="Calibri" w:cs="Calibri"/>
        </w:rPr>
        <w:t>by the Township Committee of the Township of Neptune, County of Monmouth, that the Land Development Ordinance of the Township of Neptune is hereby amended as follows:</w:t>
      </w:r>
    </w:p>
    <w:bookmarkEnd w:id="0"/>
    <w:p w14:paraId="60EC1522" w14:textId="77777777" w:rsidR="00A67707" w:rsidRPr="004261C0" w:rsidRDefault="00A67707" w:rsidP="004261C0">
      <w:pPr>
        <w:ind w:firstLine="720"/>
        <w:jc w:val="both"/>
        <w:rPr>
          <w:rFonts w:ascii="Calibri" w:hAnsi="Calibri" w:cs="Calibri"/>
          <w:u w:val="single"/>
        </w:rPr>
      </w:pPr>
    </w:p>
    <w:p w14:paraId="5BF39CEE" w14:textId="77777777" w:rsidR="00A67707" w:rsidRPr="004261C0" w:rsidRDefault="00A67707" w:rsidP="004261C0">
      <w:pPr>
        <w:jc w:val="both"/>
        <w:rPr>
          <w:rFonts w:ascii="Calibri" w:hAnsi="Calibri" w:cs="Calibri"/>
        </w:rPr>
      </w:pPr>
      <w:r w:rsidRPr="004261C0">
        <w:rPr>
          <w:rFonts w:ascii="Calibri" w:hAnsi="Calibri" w:cs="Calibri"/>
          <w:b/>
          <w:bCs/>
          <w:u w:val="single"/>
        </w:rPr>
        <w:t>SECTION 1</w:t>
      </w:r>
      <w:r w:rsidRPr="004261C0">
        <w:rPr>
          <w:rFonts w:ascii="Calibri" w:hAnsi="Calibri" w:cs="Calibri"/>
          <w:u w:val="single"/>
        </w:rPr>
        <w:t>.</w:t>
      </w:r>
      <w:r w:rsidRPr="004261C0">
        <w:rPr>
          <w:rFonts w:ascii="Calibri" w:hAnsi="Calibri" w:cs="Calibri"/>
        </w:rPr>
        <w:tab/>
        <w:t>Section 300 Zoning Districts.</w:t>
      </w:r>
    </w:p>
    <w:p w14:paraId="2BD83FA9" w14:textId="77777777" w:rsidR="00A67707" w:rsidRPr="004261C0" w:rsidRDefault="00A67707" w:rsidP="004261C0">
      <w:pPr>
        <w:jc w:val="both"/>
        <w:rPr>
          <w:rFonts w:ascii="Calibri" w:hAnsi="Calibri" w:cs="Calibri"/>
        </w:rPr>
      </w:pPr>
    </w:p>
    <w:p w14:paraId="220F1123" w14:textId="2FDAA9D0" w:rsidR="00A67707" w:rsidRPr="004261C0" w:rsidRDefault="00A67707" w:rsidP="004261C0">
      <w:pPr>
        <w:jc w:val="both"/>
        <w:rPr>
          <w:rFonts w:ascii="Calibri" w:hAnsi="Calibri" w:cs="Calibri"/>
          <w:b/>
          <w:bCs/>
        </w:rPr>
      </w:pPr>
      <w:r w:rsidRPr="004261C0">
        <w:rPr>
          <w:rFonts w:ascii="Calibri" w:hAnsi="Calibri" w:cs="Calibri"/>
        </w:rPr>
        <w:tab/>
      </w:r>
      <w:r w:rsidRPr="004261C0">
        <w:rPr>
          <w:rFonts w:ascii="Calibri" w:hAnsi="Calibri" w:cs="Calibri"/>
          <w:b/>
          <w:bCs/>
        </w:rPr>
        <w:t>Affordable Housing Zone – 4 (AH-4)</w:t>
      </w:r>
    </w:p>
    <w:p w14:paraId="37111DEB" w14:textId="77777777" w:rsidR="00A67707" w:rsidRPr="004261C0" w:rsidRDefault="00A67707" w:rsidP="004261C0">
      <w:pPr>
        <w:jc w:val="both"/>
        <w:rPr>
          <w:rFonts w:ascii="Calibri" w:hAnsi="Calibri" w:cs="Calibri"/>
          <w:b/>
          <w:bCs/>
        </w:rPr>
      </w:pPr>
    </w:p>
    <w:p w14:paraId="26B58EAC" w14:textId="27816A4D" w:rsidR="00A67707" w:rsidRPr="004261C0" w:rsidRDefault="00A67707" w:rsidP="004261C0">
      <w:pPr>
        <w:jc w:val="both"/>
        <w:rPr>
          <w:rFonts w:ascii="Calibri" w:hAnsi="Calibri" w:cs="Calibri"/>
        </w:rPr>
      </w:pPr>
      <w:r w:rsidRPr="004261C0">
        <w:rPr>
          <w:rFonts w:ascii="Calibri" w:hAnsi="Calibri" w:cs="Calibri"/>
          <w:b/>
          <w:bCs/>
          <w:u w:val="single"/>
        </w:rPr>
        <w:t>SECTION 2.</w:t>
      </w:r>
      <w:r w:rsidRPr="004261C0">
        <w:rPr>
          <w:rFonts w:ascii="Calibri" w:hAnsi="Calibri" w:cs="Calibri"/>
        </w:rPr>
        <w:t xml:space="preserve">  Section 406.</w:t>
      </w:r>
      <w:r w:rsidR="006951C0" w:rsidRPr="004261C0">
        <w:rPr>
          <w:rFonts w:ascii="Calibri" w:hAnsi="Calibri" w:cs="Calibri"/>
        </w:rPr>
        <w:t>05</w:t>
      </w:r>
      <w:r w:rsidRPr="004261C0">
        <w:rPr>
          <w:rFonts w:ascii="Calibri" w:hAnsi="Calibri" w:cs="Calibri"/>
        </w:rPr>
        <w:t xml:space="preserve"> Affordable Housing Zone - </w:t>
      </w:r>
      <w:r w:rsidR="006951C0" w:rsidRPr="004261C0">
        <w:rPr>
          <w:rFonts w:ascii="Calibri" w:hAnsi="Calibri" w:cs="Calibri"/>
        </w:rPr>
        <w:t>4</w:t>
      </w:r>
    </w:p>
    <w:p w14:paraId="2794939D" w14:textId="2D050C32" w:rsidR="009475D0" w:rsidRDefault="00DD229E" w:rsidP="004261C0">
      <w:pPr>
        <w:pStyle w:val="ListParagraph"/>
        <w:numPr>
          <w:ilvl w:val="0"/>
          <w:numId w:val="2"/>
        </w:numPr>
        <w:spacing w:after="0" w:line="240" w:lineRule="auto"/>
        <w:rPr>
          <w:rFonts w:cs="Calibri"/>
          <w:sz w:val="24"/>
          <w:szCs w:val="24"/>
        </w:rPr>
      </w:pPr>
      <w:r w:rsidRPr="004261C0">
        <w:rPr>
          <w:rFonts w:cs="Calibri"/>
          <w:sz w:val="24"/>
          <w:szCs w:val="24"/>
        </w:rPr>
        <w:t>Purpose. The purpose of the AH-</w:t>
      </w:r>
      <w:r w:rsidR="006951C0" w:rsidRPr="004261C0">
        <w:rPr>
          <w:rFonts w:cs="Calibri"/>
          <w:sz w:val="24"/>
          <w:szCs w:val="24"/>
        </w:rPr>
        <w:t>4</w:t>
      </w:r>
      <w:r w:rsidRPr="004261C0">
        <w:rPr>
          <w:rFonts w:cs="Calibri"/>
          <w:sz w:val="24"/>
          <w:szCs w:val="24"/>
        </w:rPr>
        <w:t xml:space="preserve"> Affordable Housing Mixed Use Overlay Zone is to permit multi-family residential development that includes an affordable housing component, house of worship, and optional commercial ground floor space, thereby advancing the Township’s efforts to meet its constitutionally mandated affordable housing obligations in accordance with applicable State law.</w:t>
      </w:r>
    </w:p>
    <w:p w14:paraId="32C356C7" w14:textId="77777777" w:rsidR="00DD229E" w:rsidRPr="004261C0" w:rsidRDefault="00DD229E" w:rsidP="00DD229E">
      <w:pPr>
        <w:pStyle w:val="ListParagraph"/>
        <w:spacing w:after="0" w:line="240" w:lineRule="auto"/>
        <w:rPr>
          <w:rFonts w:cs="Calibri"/>
          <w:sz w:val="24"/>
          <w:szCs w:val="24"/>
        </w:rPr>
      </w:pPr>
    </w:p>
    <w:p w14:paraId="3BB5D416" w14:textId="2C1CD4F8" w:rsidR="006E6862" w:rsidRDefault="006E6862" w:rsidP="004261C0">
      <w:pPr>
        <w:pStyle w:val="ListParagraph"/>
        <w:numPr>
          <w:ilvl w:val="0"/>
          <w:numId w:val="2"/>
        </w:numPr>
        <w:spacing w:after="0" w:line="240" w:lineRule="auto"/>
        <w:rPr>
          <w:rFonts w:cs="Calibri"/>
          <w:sz w:val="24"/>
          <w:szCs w:val="24"/>
        </w:rPr>
      </w:pPr>
      <w:r w:rsidRPr="004261C0">
        <w:rPr>
          <w:rFonts w:cs="Calibri"/>
          <w:sz w:val="24"/>
          <w:szCs w:val="24"/>
        </w:rPr>
        <w:t>Location</w:t>
      </w:r>
      <w:proofErr w:type="gramStart"/>
      <w:r w:rsidRPr="004261C0">
        <w:rPr>
          <w:rFonts w:cs="Calibri"/>
          <w:sz w:val="24"/>
          <w:szCs w:val="24"/>
        </w:rPr>
        <w:t>:  Block</w:t>
      </w:r>
      <w:proofErr w:type="gramEnd"/>
      <w:r w:rsidRPr="004261C0">
        <w:rPr>
          <w:rFonts w:cs="Calibri"/>
          <w:sz w:val="24"/>
          <w:szCs w:val="24"/>
        </w:rPr>
        <w:t xml:space="preserve"> 1004, Lot 1</w:t>
      </w:r>
    </w:p>
    <w:p w14:paraId="0ADFED10" w14:textId="77777777" w:rsidR="00DD229E" w:rsidRPr="00DD229E" w:rsidRDefault="00DD229E" w:rsidP="00DD229E">
      <w:pPr>
        <w:rPr>
          <w:rFonts w:cs="Calibri"/>
        </w:rPr>
      </w:pPr>
    </w:p>
    <w:p w14:paraId="09EFB0BA" w14:textId="2D3A96BE" w:rsidR="009475D0" w:rsidRPr="004261C0" w:rsidRDefault="00DD229E" w:rsidP="004261C0">
      <w:pPr>
        <w:pStyle w:val="ListParagraph"/>
        <w:numPr>
          <w:ilvl w:val="0"/>
          <w:numId w:val="2"/>
        </w:numPr>
        <w:spacing w:after="0" w:line="240" w:lineRule="auto"/>
        <w:rPr>
          <w:rFonts w:cs="Calibri"/>
          <w:sz w:val="24"/>
          <w:szCs w:val="24"/>
        </w:rPr>
      </w:pPr>
      <w:r w:rsidRPr="004261C0">
        <w:rPr>
          <w:rFonts w:cs="Calibri"/>
          <w:sz w:val="24"/>
          <w:szCs w:val="24"/>
        </w:rPr>
        <w:t>Permitted Uses.</w:t>
      </w:r>
    </w:p>
    <w:p w14:paraId="4B5B7602" w14:textId="2EC741F8" w:rsidR="009475D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 xml:space="preserve">Multi-family dwellings with or without ground floor retail </w:t>
      </w:r>
      <w:proofErr w:type="gramStart"/>
      <w:r w:rsidRPr="004261C0">
        <w:rPr>
          <w:rFonts w:cs="Calibri"/>
          <w:sz w:val="24"/>
          <w:szCs w:val="24"/>
        </w:rPr>
        <w:t>commercial</w:t>
      </w:r>
      <w:proofErr w:type="gramEnd"/>
      <w:r w:rsidR="006951C0" w:rsidRPr="004261C0">
        <w:rPr>
          <w:rFonts w:cs="Calibri"/>
          <w:sz w:val="24"/>
          <w:szCs w:val="24"/>
        </w:rPr>
        <w:t xml:space="preserve"> (Maximum of </w:t>
      </w:r>
      <w:r w:rsidR="006E6862" w:rsidRPr="004261C0">
        <w:rPr>
          <w:rFonts w:cs="Calibri"/>
          <w:sz w:val="24"/>
          <w:szCs w:val="24"/>
        </w:rPr>
        <w:t>84 units of which 8 are low- and moderate-income units)</w:t>
      </w:r>
    </w:p>
    <w:p w14:paraId="49FF7B03" w14:textId="77777777" w:rsidR="00DD229E" w:rsidRPr="004261C0" w:rsidRDefault="00DD229E" w:rsidP="00DD229E">
      <w:pPr>
        <w:pStyle w:val="ListParagraph"/>
        <w:spacing w:after="0" w:line="240" w:lineRule="auto"/>
        <w:ind w:left="1440"/>
        <w:rPr>
          <w:rFonts w:cs="Calibri"/>
          <w:sz w:val="24"/>
          <w:szCs w:val="24"/>
        </w:rPr>
      </w:pPr>
    </w:p>
    <w:p w14:paraId="0ECB0B8A"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Ground floor commercial uses:</w:t>
      </w:r>
    </w:p>
    <w:p w14:paraId="1E865453"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Grocery (except convenience) stores.</w:t>
      </w:r>
    </w:p>
    <w:p w14:paraId="225DA78E"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Convenience stores.</w:t>
      </w:r>
    </w:p>
    <w:p w14:paraId="7DF1BD49"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Retail bakeries.</w:t>
      </w:r>
    </w:p>
    <w:p w14:paraId="3DF79D65"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Delicatessens.</w:t>
      </w:r>
    </w:p>
    <w:p w14:paraId="5F5DF98A"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Butcher shops.</w:t>
      </w:r>
    </w:p>
    <w:p w14:paraId="333B18C5"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Fish and seafood markets.</w:t>
      </w:r>
    </w:p>
    <w:p w14:paraId="7D321E25"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Fruit and vegetable markets.</w:t>
      </w:r>
    </w:p>
    <w:p w14:paraId="06BB76D1"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Beer, wine and liquor stores.</w:t>
      </w:r>
    </w:p>
    <w:p w14:paraId="60C9EFB0"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Pharmacies and drug stores.</w:t>
      </w:r>
    </w:p>
    <w:p w14:paraId="3DFD22E1"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lastRenderedPageBreak/>
        <w:t>Cosmetics, beauty supplies and perfume store.</w:t>
      </w:r>
    </w:p>
    <w:p w14:paraId="332FF9D1"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Food (health) supplement stores.</w:t>
      </w:r>
    </w:p>
    <w:p w14:paraId="528F85DD"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Health and personal care stores.</w:t>
      </w:r>
    </w:p>
    <w:p w14:paraId="670F5F4D"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 xml:space="preserve">Family </w:t>
      </w:r>
      <w:r w:rsidRPr="004261C0">
        <w:rPr>
          <w:rFonts w:cs="Calibri"/>
          <w:sz w:val="24"/>
          <w:szCs w:val="24"/>
        </w:rPr>
        <w:t>clothing and apparel stores.</w:t>
      </w:r>
    </w:p>
    <w:p w14:paraId="53C7FC04"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Swimwear stores.</w:t>
      </w:r>
    </w:p>
    <w:p w14:paraId="3A1C06A3"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Jewelry stores.</w:t>
      </w:r>
    </w:p>
    <w:p w14:paraId="6037653E"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Shoe stores.</w:t>
      </w:r>
    </w:p>
    <w:p w14:paraId="4833E70C" w14:textId="77777777" w:rsidR="009475D0" w:rsidRPr="004261C0" w:rsidRDefault="00DD229E" w:rsidP="004261C0">
      <w:pPr>
        <w:pStyle w:val="ListParagraph"/>
        <w:numPr>
          <w:ilvl w:val="2"/>
          <w:numId w:val="2"/>
        </w:numPr>
        <w:spacing w:after="0" w:line="240" w:lineRule="auto"/>
        <w:rPr>
          <w:rFonts w:cs="Calibri"/>
          <w:sz w:val="24"/>
          <w:szCs w:val="24"/>
        </w:rPr>
      </w:pPr>
      <w:proofErr w:type="gramStart"/>
      <w:r w:rsidRPr="004261C0">
        <w:rPr>
          <w:rFonts w:cs="Calibri"/>
          <w:sz w:val="24"/>
          <w:szCs w:val="24"/>
        </w:rPr>
        <w:t>Hobby</w:t>
      </w:r>
      <w:proofErr w:type="gramEnd"/>
      <w:r w:rsidRPr="004261C0">
        <w:rPr>
          <w:rFonts w:cs="Calibri"/>
          <w:sz w:val="24"/>
          <w:szCs w:val="24"/>
        </w:rPr>
        <w:t>, toy and game stores.</w:t>
      </w:r>
    </w:p>
    <w:p w14:paraId="0A3383F1"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Arts and craft shops.</w:t>
      </w:r>
    </w:p>
    <w:p w14:paraId="75595A16"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 xml:space="preserve">Family </w:t>
      </w:r>
      <w:proofErr w:type="gramStart"/>
      <w:r w:rsidRPr="004261C0">
        <w:rPr>
          <w:rFonts w:cs="Calibri"/>
          <w:sz w:val="24"/>
          <w:szCs w:val="24"/>
        </w:rPr>
        <w:t>book stores</w:t>
      </w:r>
      <w:proofErr w:type="gramEnd"/>
      <w:r w:rsidRPr="004261C0">
        <w:rPr>
          <w:rFonts w:cs="Calibri"/>
          <w:sz w:val="24"/>
          <w:szCs w:val="24"/>
        </w:rPr>
        <w:t>.</w:t>
      </w:r>
    </w:p>
    <w:p w14:paraId="7FE1FE44"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Magazine/newspaper stands.</w:t>
      </w:r>
    </w:p>
    <w:p w14:paraId="1BE475B6"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Florists/flower shops.</w:t>
      </w:r>
    </w:p>
    <w:p w14:paraId="26847619"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Gift shops.</w:t>
      </w:r>
    </w:p>
    <w:p w14:paraId="42B372A6"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Greeting card stores.</w:t>
      </w:r>
    </w:p>
    <w:p w14:paraId="794234C6"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Commercial banking.</w:t>
      </w:r>
    </w:p>
    <w:p w14:paraId="7BEF9466"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Savings institutions.</w:t>
      </w:r>
    </w:p>
    <w:p w14:paraId="311D12A7"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Bank.</w:t>
      </w:r>
    </w:p>
    <w:p w14:paraId="43616569"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Credit unions.</w:t>
      </w:r>
    </w:p>
    <w:p w14:paraId="0A7C57B2"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Offices of real estate agents.</w:t>
      </w:r>
    </w:p>
    <w:p w14:paraId="5F3D0661"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Drinking places (alcoholic beverages).</w:t>
      </w:r>
    </w:p>
    <w:p w14:paraId="432A925A"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Full-service restaurants.</w:t>
      </w:r>
    </w:p>
    <w:p w14:paraId="533D5BBD"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Restaurant.</w:t>
      </w:r>
    </w:p>
    <w:p w14:paraId="73F541B7"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Restaurant, take-out.</w:t>
      </w:r>
    </w:p>
    <w:p w14:paraId="22E70471"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Barber and beauty shops, beauty salons and parlors, hairdressers.</w:t>
      </w:r>
    </w:p>
    <w:p w14:paraId="13A21960"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 xml:space="preserve">Cosmetic salons and </w:t>
      </w:r>
      <w:r w:rsidRPr="004261C0">
        <w:rPr>
          <w:rFonts w:cs="Calibri"/>
          <w:sz w:val="24"/>
          <w:szCs w:val="24"/>
        </w:rPr>
        <w:t>cosmetology services.</w:t>
      </w:r>
    </w:p>
    <w:p w14:paraId="4CB445CD"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Manicure salon or nail services.</w:t>
      </w:r>
    </w:p>
    <w:p w14:paraId="3AE69FB7"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Wig grooming service.</w:t>
      </w:r>
    </w:p>
    <w:p w14:paraId="3C8A0BF1"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Diet and weight reducing centers.</w:t>
      </w:r>
    </w:p>
    <w:p w14:paraId="16F8FBF0"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Depilatory salons (hair removal).</w:t>
      </w:r>
    </w:p>
    <w:p w14:paraId="68E5E26D"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Ear piercing services.</w:t>
      </w:r>
    </w:p>
    <w:p w14:paraId="562C714C"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Body piercing services.</w:t>
      </w:r>
    </w:p>
    <w:p w14:paraId="02035A90"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Electrologist's studio.</w:t>
      </w:r>
    </w:p>
    <w:p w14:paraId="55B5F3A5"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Electrolysis studio.</w:t>
      </w:r>
    </w:p>
    <w:p w14:paraId="4050D6A9"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Massage parlor.</w:t>
      </w:r>
    </w:p>
    <w:p w14:paraId="7847FA71"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Scalp treatment.</w:t>
      </w:r>
    </w:p>
    <w:p w14:paraId="7C5FB436"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Hair replacement.</w:t>
      </w:r>
    </w:p>
    <w:p w14:paraId="7E9182DC"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Tanning salons.</w:t>
      </w:r>
    </w:p>
    <w:p w14:paraId="2F562CE1"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Leather goods repair services.</w:t>
      </w:r>
    </w:p>
    <w:p w14:paraId="1804906D" w14:textId="77777777" w:rsidR="009475D0" w:rsidRPr="004261C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Shoe repair and shoeshine parlors.</w:t>
      </w:r>
    </w:p>
    <w:p w14:paraId="02257387" w14:textId="77777777" w:rsidR="009475D0" w:rsidRDefault="00DD229E" w:rsidP="004261C0">
      <w:pPr>
        <w:pStyle w:val="ListParagraph"/>
        <w:numPr>
          <w:ilvl w:val="2"/>
          <w:numId w:val="2"/>
        </w:numPr>
        <w:spacing w:after="0" w:line="240" w:lineRule="auto"/>
        <w:rPr>
          <w:rFonts w:cs="Calibri"/>
          <w:sz w:val="24"/>
          <w:szCs w:val="24"/>
        </w:rPr>
      </w:pPr>
      <w:r w:rsidRPr="004261C0">
        <w:rPr>
          <w:rFonts w:cs="Calibri"/>
          <w:sz w:val="24"/>
          <w:szCs w:val="24"/>
        </w:rPr>
        <w:t>Locksmiths.</w:t>
      </w:r>
    </w:p>
    <w:p w14:paraId="63D37538" w14:textId="77777777" w:rsidR="00DD229E" w:rsidRPr="004261C0" w:rsidRDefault="00DD229E" w:rsidP="00DD229E">
      <w:pPr>
        <w:pStyle w:val="ListParagraph"/>
        <w:spacing w:after="0" w:line="240" w:lineRule="auto"/>
        <w:ind w:left="2230"/>
        <w:rPr>
          <w:rFonts w:cs="Calibri"/>
          <w:sz w:val="24"/>
          <w:szCs w:val="24"/>
        </w:rPr>
      </w:pPr>
    </w:p>
    <w:p w14:paraId="71CDB1EB" w14:textId="77777777" w:rsidR="009475D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Places of Worship</w:t>
      </w:r>
    </w:p>
    <w:p w14:paraId="6483A76E" w14:textId="77777777" w:rsidR="00DD229E" w:rsidRPr="004261C0" w:rsidRDefault="00DD229E" w:rsidP="00DD229E">
      <w:pPr>
        <w:pStyle w:val="ListParagraph"/>
        <w:spacing w:after="0" w:line="240" w:lineRule="auto"/>
        <w:ind w:left="1440"/>
        <w:rPr>
          <w:rFonts w:cs="Calibri"/>
          <w:sz w:val="24"/>
          <w:szCs w:val="24"/>
        </w:rPr>
      </w:pPr>
    </w:p>
    <w:p w14:paraId="7B2F8732" w14:textId="77777777" w:rsidR="009475D0" w:rsidRDefault="00DD229E" w:rsidP="004261C0">
      <w:pPr>
        <w:pStyle w:val="ListParagraph"/>
        <w:numPr>
          <w:ilvl w:val="0"/>
          <w:numId w:val="2"/>
        </w:numPr>
        <w:spacing w:after="0" w:line="240" w:lineRule="auto"/>
        <w:rPr>
          <w:rFonts w:cs="Calibri"/>
          <w:sz w:val="24"/>
          <w:szCs w:val="24"/>
        </w:rPr>
      </w:pPr>
      <w:r w:rsidRPr="004261C0">
        <w:rPr>
          <w:rFonts w:cs="Calibri"/>
          <w:sz w:val="24"/>
          <w:szCs w:val="24"/>
        </w:rPr>
        <w:t>Accessory permitted uses.</w:t>
      </w:r>
    </w:p>
    <w:p w14:paraId="0AA995A4" w14:textId="77777777" w:rsidR="00DD229E" w:rsidRPr="004261C0" w:rsidRDefault="00DD229E" w:rsidP="00DD229E">
      <w:pPr>
        <w:pStyle w:val="ListParagraph"/>
        <w:spacing w:after="0" w:line="240" w:lineRule="auto"/>
        <w:rPr>
          <w:rFonts w:cs="Calibri"/>
          <w:sz w:val="24"/>
          <w:szCs w:val="24"/>
        </w:rPr>
      </w:pPr>
    </w:p>
    <w:p w14:paraId="69627FA0"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Parking areas and electric vehicle charging stations.</w:t>
      </w:r>
    </w:p>
    <w:p w14:paraId="02C6FDB6"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lastRenderedPageBreak/>
        <w:t xml:space="preserve">Interior amenities, including, but not limited </w:t>
      </w:r>
      <w:proofErr w:type="gramStart"/>
      <w:r w:rsidRPr="004261C0">
        <w:rPr>
          <w:rFonts w:cs="Calibri"/>
          <w:sz w:val="24"/>
          <w:szCs w:val="24"/>
        </w:rPr>
        <w:t>to:</w:t>
      </w:r>
      <w:proofErr w:type="gramEnd"/>
      <w:r w:rsidRPr="004261C0">
        <w:rPr>
          <w:rFonts w:cs="Calibri"/>
          <w:sz w:val="24"/>
          <w:szCs w:val="24"/>
        </w:rPr>
        <w:t xml:space="preserve"> community room, wellness and health room(s), library, meeting rooms, lobbies, laundry areas, mail centers, fitness rooms, and other traditional ancillary spaces intended to serve the residents.</w:t>
      </w:r>
    </w:p>
    <w:p w14:paraId="26FFE7C4"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Utility rooms</w:t>
      </w:r>
    </w:p>
    <w:p w14:paraId="426B09F8"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Indoor and outdoor recreational areas</w:t>
      </w:r>
    </w:p>
    <w:p w14:paraId="1F6A4FAE"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Bicycle storage facilities</w:t>
      </w:r>
    </w:p>
    <w:p w14:paraId="4C7F7EDB"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Patios, balconies, and porches intended to serve the residents.</w:t>
      </w:r>
    </w:p>
    <w:p w14:paraId="52327DAF"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Mail rooms and package rooms</w:t>
      </w:r>
    </w:p>
    <w:p w14:paraId="760C9284"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Trash and recycling rooms and enclosures</w:t>
      </w:r>
    </w:p>
    <w:p w14:paraId="5B5DBA07"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Storage and equipment sheds</w:t>
      </w:r>
    </w:p>
    <w:p w14:paraId="35B683EC"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 xml:space="preserve">Stormwater </w:t>
      </w:r>
      <w:r w:rsidRPr="004261C0">
        <w:rPr>
          <w:rFonts w:cs="Calibri"/>
          <w:sz w:val="24"/>
          <w:szCs w:val="24"/>
        </w:rPr>
        <w:t>management facilities, including but not limited to typical stormwater basins as well as underground recharge basins.</w:t>
      </w:r>
    </w:p>
    <w:p w14:paraId="35EFC55C"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Private and public utility structures, including standby generators</w:t>
      </w:r>
      <w:proofErr w:type="gramStart"/>
      <w:r w:rsidRPr="004261C0">
        <w:rPr>
          <w:rFonts w:cs="Calibri"/>
          <w:sz w:val="24"/>
          <w:szCs w:val="24"/>
        </w:rPr>
        <w:t xml:space="preserve"> intended</w:t>
      </w:r>
      <w:proofErr w:type="gramEnd"/>
      <w:r w:rsidRPr="004261C0">
        <w:rPr>
          <w:rFonts w:cs="Calibri"/>
          <w:sz w:val="24"/>
          <w:szCs w:val="24"/>
        </w:rPr>
        <w:t xml:space="preserve"> to serve the residents.</w:t>
      </w:r>
    </w:p>
    <w:p w14:paraId="4A731EFB"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Signs in accordance with § LDO-416 SIGNS</w:t>
      </w:r>
    </w:p>
    <w:p w14:paraId="3D7864BE"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Fences and walls</w:t>
      </w:r>
    </w:p>
    <w:p w14:paraId="4EBD9388"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Temporary construction trailers</w:t>
      </w:r>
    </w:p>
    <w:p w14:paraId="59D19F52" w14:textId="3F7299ED" w:rsidR="009475D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Accessory uses customarily incidental to a permitted principal use as approved by the Planning Board</w:t>
      </w:r>
      <w:r>
        <w:rPr>
          <w:rFonts w:cs="Calibri"/>
          <w:sz w:val="24"/>
          <w:szCs w:val="24"/>
        </w:rPr>
        <w:t>.</w:t>
      </w:r>
    </w:p>
    <w:p w14:paraId="3E965ACE" w14:textId="77777777" w:rsidR="00DD229E" w:rsidRPr="004261C0" w:rsidRDefault="00DD229E" w:rsidP="00DD229E">
      <w:pPr>
        <w:pStyle w:val="ListParagraph"/>
        <w:spacing w:after="0" w:line="240" w:lineRule="auto"/>
        <w:ind w:left="1440"/>
        <w:rPr>
          <w:rFonts w:cs="Calibri"/>
          <w:sz w:val="24"/>
          <w:szCs w:val="24"/>
        </w:rPr>
      </w:pPr>
    </w:p>
    <w:p w14:paraId="59DA019A" w14:textId="474E8745" w:rsidR="009475D0" w:rsidRDefault="00DD229E" w:rsidP="004261C0">
      <w:pPr>
        <w:pStyle w:val="ListParagraph"/>
        <w:numPr>
          <w:ilvl w:val="0"/>
          <w:numId w:val="2"/>
        </w:numPr>
        <w:spacing w:after="0" w:line="240" w:lineRule="auto"/>
        <w:rPr>
          <w:rFonts w:cs="Calibri"/>
          <w:sz w:val="24"/>
          <w:szCs w:val="24"/>
        </w:rPr>
      </w:pPr>
      <w:r w:rsidRPr="004261C0">
        <w:rPr>
          <w:rFonts w:cs="Calibri"/>
          <w:sz w:val="24"/>
          <w:szCs w:val="24"/>
        </w:rPr>
        <w:t xml:space="preserve">Bulk Regulations. Development in the </w:t>
      </w:r>
      <w:r w:rsidR="00B82B3C" w:rsidRPr="004261C0">
        <w:rPr>
          <w:rFonts w:cs="Calibri"/>
          <w:sz w:val="24"/>
          <w:szCs w:val="24"/>
        </w:rPr>
        <w:t>AH-4</w:t>
      </w:r>
      <w:r w:rsidRPr="004261C0">
        <w:rPr>
          <w:rFonts w:cs="Calibri"/>
          <w:sz w:val="24"/>
          <w:szCs w:val="24"/>
        </w:rPr>
        <w:t xml:space="preserve"> Affordable Housing Mixed Use Overlay Zone shall be subject to the following bulk regulations:</w:t>
      </w:r>
    </w:p>
    <w:p w14:paraId="41E2C001" w14:textId="77777777" w:rsidR="00DD229E" w:rsidRPr="004261C0" w:rsidRDefault="00DD229E" w:rsidP="00DD229E">
      <w:pPr>
        <w:pStyle w:val="ListParagraph"/>
        <w:spacing w:after="0" w:line="240" w:lineRule="auto"/>
        <w:rPr>
          <w:rFonts w:cs="Calibri"/>
          <w:sz w:val="24"/>
          <w:szCs w:val="24"/>
        </w:rPr>
      </w:pPr>
    </w:p>
    <w:p w14:paraId="1B7C519B"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Minimum total tract area: 3 acres</w:t>
      </w:r>
    </w:p>
    <w:p w14:paraId="0B5366ED" w14:textId="77777777" w:rsidR="009475D0" w:rsidRPr="004261C0" w:rsidRDefault="00DD229E" w:rsidP="004261C0">
      <w:pPr>
        <w:pStyle w:val="ListParagraph"/>
        <w:numPr>
          <w:ilvl w:val="2"/>
          <w:numId w:val="3"/>
        </w:numPr>
        <w:spacing w:after="0" w:line="240" w:lineRule="auto"/>
        <w:rPr>
          <w:rFonts w:cs="Calibri"/>
          <w:sz w:val="24"/>
          <w:szCs w:val="24"/>
        </w:rPr>
      </w:pPr>
      <w:r w:rsidRPr="004261C0">
        <w:rPr>
          <w:rFonts w:cs="Calibri"/>
          <w:sz w:val="24"/>
          <w:szCs w:val="24"/>
        </w:rPr>
        <w:t>Minimum lot area for multi-family with to without ground floor retail commercial: 2 acres</w:t>
      </w:r>
    </w:p>
    <w:p w14:paraId="19A04DBE" w14:textId="77777777" w:rsidR="009475D0" w:rsidRPr="004261C0" w:rsidRDefault="00DD229E" w:rsidP="004261C0">
      <w:pPr>
        <w:pStyle w:val="ListParagraph"/>
        <w:numPr>
          <w:ilvl w:val="2"/>
          <w:numId w:val="3"/>
        </w:numPr>
        <w:spacing w:after="0" w:line="240" w:lineRule="auto"/>
        <w:rPr>
          <w:rFonts w:cs="Calibri"/>
          <w:sz w:val="24"/>
          <w:szCs w:val="24"/>
        </w:rPr>
      </w:pPr>
      <w:r w:rsidRPr="004261C0">
        <w:rPr>
          <w:rFonts w:cs="Calibri"/>
          <w:sz w:val="24"/>
          <w:szCs w:val="24"/>
        </w:rPr>
        <w:t>Maximum lot area for Place of Worship: 1 acre</w:t>
      </w:r>
    </w:p>
    <w:p w14:paraId="35D33BFB"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Minimum lot width: 100 FT</w:t>
      </w:r>
    </w:p>
    <w:p w14:paraId="03B0CA61"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Minimum lot frontage: 100 FT</w:t>
      </w:r>
    </w:p>
    <w:p w14:paraId="30509593"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Minimum lot depth: 100 FT</w:t>
      </w:r>
    </w:p>
    <w:p w14:paraId="1E86F3EF"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Parking shall not be in Route 35 front yard area.</w:t>
      </w:r>
    </w:p>
    <w:p w14:paraId="3A48CEE6"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Maximum front yard setback from Route 35: 20 feet.</w:t>
      </w:r>
    </w:p>
    <w:p w14:paraId="16361471"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Maximum front yard setback from Heck: 20 feet.</w:t>
      </w:r>
    </w:p>
    <w:p w14:paraId="33BAE015"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Minimum building setback from residential lot line: 40 feet.</w:t>
      </w:r>
    </w:p>
    <w:p w14:paraId="233365D7"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Maximum percent building coverage: 50%.</w:t>
      </w:r>
    </w:p>
    <w:p w14:paraId="05D6A547"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Maximum impervious coverage: 80%.</w:t>
      </w:r>
    </w:p>
    <w:p w14:paraId="168F42CD"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Maximum Building Height: 42 feet.</w:t>
      </w:r>
    </w:p>
    <w:p w14:paraId="11027A2F" w14:textId="77777777" w:rsidR="009475D0" w:rsidRPr="004261C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Maximum Density for total tract (dwelling units per acre): 28 DU/AC</w:t>
      </w:r>
    </w:p>
    <w:p w14:paraId="27160A08" w14:textId="77777777" w:rsidR="009475D0" w:rsidRDefault="00DD229E" w:rsidP="004261C0">
      <w:pPr>
        <w:pStyle w:val="ListParagraph"/>
        <w:numPr>
          <w:ilvl w:val="1"/>
          <w:numId w:val="2"/>
        </w:numPr>
        <w:spacing w:after="0" w:line="240" w:lineRule="auto"/>
        <w:rPr>
          <w:rFonts w:cs="Calibri"/>
          <w:sz w:val="24"/>
          <w:szCs w:val="24"/>
        </w:rPr>
      </w:pPr>
      <w:r w:rsidRPr="004261C0">
        <w:rPr>
          <w:rFonts w:cs="Calibri"/>
          <w:sz w:val="24"/>
          <w:szCs w:val="24"/>
        </w:rPr>
        <w:t>Maximum Floor Area Ratio: 1.50</w:t>
      </w:r>
    </w:p>
    <w:p w14:paraId="3D0CB9CA" w14:textId="77777777" w:rsidR="00DD229E" w:rsidRPr="004261C0" w:rsidRDefault="00DD229E" w:rsidP="00DD229E">
      <w:pPr>
        <w:pStyle w:val="ListParagraph"/>
        <w:spacing w:after="0" w:line="240" w:lineRule="auto"/>
        <w:ind w:left="1440"/>
        <w:rPr>
          <w:rFonts w:cs="Calibri"/>
          <w:sz w:val="24"/>
          <w:szCs w:val="24"/>
        </w:rPr>
      </w:pPr>
    </w:p>
    <w:p w14:paraId="138BAE26" w14:textId="3C72CECB" w:rsidR="009475D0" w:rsidRDefault="00DD229E" w:rsidP="004261C0">
      <w:pPr>
        <w:pStyle w:val="ListParagraph"/>
        <w:numPr>
          <w:ilvl w:val="0"/>
          <w:numId w:val="2"/>
        </w:numPr>
        <w:spacing w:after="0" w:line="240" w:lineRule="auto"/>
        <w:rPr>
          <w:rFonts w:cs="Calibri"/>
          <w:sz w:val="24"/>
          <w:szCs w:val="24"/>
        </w:rPr>
      </w:pPr>
      <w:r w:rsidRPr="004261C0">
        <w:rPr>
          <w:rFonts w:cs="Calibri"/>
          <w:sz w:val="24"/>
          <w:szCs w:val="24"/>
        </w:rPr>
        <w:t xml:space="preserve">Development in the </w:t>
      </w:r>
      <w:r w:rsidR="00B82B3C" w:rsidRPr="004261C0">
        <w:rPr>
          <w:rFonts w:cs="Calibri"/>
          <w:sz w:val="24"/>
          <w:szCs w:val="24"/>
        </w:rPr>
        <w:t>AH-4</w:t>
      </w:r>
      <w:r w:rsidRPr="004261C0">
        <w:rPr>
          <w:rFonts w:cs="Calibri"/>
          <w:sz w:val="24"/>
          <w:szCs w:val="24"/>
        </w:rPr>
        <w:t xml:space="preserve"> Affordable Housing Mixed Use Overlay Zone shall be consistent with NJ Residential Site Improvement Standards found within N.J.A.C. 5:21</w:t>
      </w:r>
      <w:r>
        <w:rPr>
          <w:rFonts w:cs="Calibri"/>
          <w:sz w:val="24"/>
          <w:szCs w:val="24"/>
        </w:rPr>
        <w:t>.</w:t>
      </w:r>
    </w:p>
    <w:p w14:paraId="4CC1044A" w14:textId="77777777" w:rsidR="00DD229E" w:rsidRPr="004261C0" w:rsidRDefault="00DD229E" w:rsidP="00DD229E">
      <w:pPr>
        <w:pStyle w:val="ListParagraph"/>
        <w:spacing w:after="0" w:line="240" w:lineRule="auto"/>
        <w:rPr>
          <w:rFonts w:cs="Calibri"/>
          <w:sz w:val="24"/>
          <w:szCs w:val="24"/>
        </w:rPr>
      </w:pPr>
    </w:p>
    <w:p w14:paraId="70A4A817" w14:textId="7F8E89EE" w:rsidR="009475D0" w:rsidRPr="004261C0" w:rsidRDefault="00DD229E" w:rsidP="004261C0">
      <w:pPr>
        <w:pStyle w:val="ListParagraph"/>
        <w:numPr>
          <w:ilvl w:val="0"/>
          <w:numId w:val="2"/>
        </w:numPr>
        <w:spacing w:after="0" w:line="240" w:lineRule="auto"/>
        <w:rPr>
          <w:rFonts w:cs="Calibri"/>
          <w:sz w:val="24"/>
          <w:szCs w:val="24"/>
        </w:rPr>
      </w:pPr>
      <w:r w:rsidRPr="004261C0">
        <w:rPr>
          <w:rFonts w:cs="Calibri"/>
          <w:sz w:val="24"/>
          <w:szCs w:val="24"/>
        </w:rPr>
        <w:t xml:space="preserve">Architectural Design Standards. Development in the </w:t>
      </w:r>
      <w:r w:rsidR="00B82B3C" w:rsidRPr="004261C0">
        <w:rPr>
          <w:rFonts w:cs="Calibri"/>
          <w:sz w:val="24"/>
          <w:szCs w:val="24"/>
        </w:rPr>
        <w:t>AH-4</w:t>
      </w:r>
      <w:r w:rsidRPr="004261C0">
        <w:rPr>
          <w:rFonts w:cs="Calibri"/>
          <w:sz w:val="24"/>
          <w:szCs w:val="24"/>
        </w:rPr>
        <w:t xml:space="preserve"> Affordable Housing Mixed Use Overlay Zone shall be consistent with the applicable Architectural and Design Standards found within § LDO-502.</w:t>
      </w:r>
    </w:p>
    <w:p w14:paraId="77D174B6" w14:textId="4D442855" w:rsidR="009475D0" w:rsidRDefault="00DD229E" w:rsidP="004261C0">
      <w:pPr>
        <w:pStyle w:val="ListParagraph"/>
        <w:numPr>
          <w:ilvl w:val="0"/>
          <w:numId w:val="2"/>
        </w:numPr>
        <w:spacing w:after="0" w:line="240" w:lineRule="auto"/>
        <w:rPr>
          <w:rFonts w:cs="Calibri"/>
          <w:sz w:val="24"/>
          <w:szCs w:val="24"/>
        </w:rPr>
      </w:pPr>
      <w:r w:rsidRPr="004261C0">
        <w:rPr>
          <w:rFonts w:cs="Calibri"/>
          <w:sz w:val="24"/>
          <w:szCs w:val="24"/>
        </w:rPr>
        <w:lastRenderedPageBreak/>
        <w:t xml:space="preserve">Buffering and Screening. Buffering and screening in the </w:t>
      </w:r>
      <w:r w:rsidR="00B82B3C" w:rsidRPr="004261C0">
        <w:rPr>
          <w:rFonts w:cs="Calibri"/>
          <w:sz w:val="24"/>
          <w:szCs w:val="24"/>
        </w:rPr>
        <w:t>AH-4</w:t>
      </w:r>
      <w:r w:rsidRPr="004261C0">
        <w:rPr>
          <w:rFonts w:cs="Calibri"/>
          <w:sz w:val="24"/>
          <w:szCs w:val="24"/>
        </w:rPr>
        <w:t xml:space="preserve"> Affordable Housing Mixed Use Overlay Zone shall be consistent with the applicable Buffering and Screening requirements found within § LDO-503, unless otherwise expressly permitted by the board.</w:t>
      </w:r>
    </w:p>
    <w:p w14:paraId="40D5550D" w14:textId="77777777" w:rsidR="00DD229E" w:rsidRPr="004261C0" w:rsidRDefault="00DD229E" w:rsidP="00DD229E">
      <w:pPr>
        <w:pStyle w:val="ListParagraph"/>
        <w:spacing w:after="0" w:line="240" w:lineRule="auto"/>
        <w:rPr>
          <w:rFonts w:cs="Calibri"/>
          <w:sz w:val="24"/>
          <w:szCs w:val="24"/>
        </w:rPr>
      </w:pPr>
    </w:p>
    <w:p w14:paraId="39775BC9" w14:textId="130589D2" w:rsidR="009475D0" w:rsidRPr="004261C0" w:rsidRDefault="00DD229E" w:rsidP="004261C0">
      <w:pPr>
        <w:pStyle w:val="ListParagraph"/>
        <w:numPr>
          <w:ilvl w:val="0"/>
          <w:numId w:val="2"/>
        </w:numPr>
        <w:spacing w:after="0" w:line="240" w:lineRule="auto"/>
        <w:rPr>
          <w:rFonts w:cs="Calibri"/>
          <w:sz w:val="24"/>
          <w:szCs w:val="24"/>
        </w:rPr>
      </w:pPr>
      <w:r w:rsidRPr="004261C0">
        <w:rPr>
          <w:rFonts w:cs="Calibri"/>
          <w:sz w:val="24"/>
          <w:szCs w:val="24"/>
        </w:rPr>
        <w:t>Landscaping. Landscaping within the AH-</w:t>
      </w:r>
      <w:r w:rsidR="00B82B3C" w:rsidRPr="004261C0">
        <w:rPr>
          <w:rFonts w:cs="Calibri"/>
          <w:sz w:val="24"/>
          <w:szCs w:val="24"/>
        </w:rPr>
        <w:t>4</w:t>
      </w:r>
      <w:r w:rsidRPr="004261C0">
        <w:rPr>
          <w:rFonts w:cs="Calibri"/>
          <w:sz w:val="24"/>
          <w:szCs w:val="24"/>
        </w:rPr>
        <w:t xml:space="preserve"> Affordable Housing Mixed Use Overlay Zone shall comply with the applicable standards set forth in § LDO-509 of the Land Development Ordinance, except as expressly modified herein or as may be otherwise permitted by the reviewing board. Notwithstanding the foregoing, the provisions of § LDO-</w:t>
      </w:r>
      <w:proofErr w:type="gramStart"/>
      <w:r w:rsidRPr="004261C0">
        <w:rPr>
          <w:rFonts w:cs="Calibri"/>
          <w:sz w:val="24"/>
          <w:szCs w:val="24"/>
        </w:rPr>
        <w:t>509.I.</w:t>
      </w:r>
      <w:proofErr w:type="gramEnd"/>
      <w:r w:rsidRPr="004261C0">
        <w:rPr>
          <w:rFonts w:cs="Calibri"/>
          <w:sz w:val="24"/>
          <w:szCs w:val="24"/>
        </w:rPr>
        <w:t>4 shall not apply within the AH-</w:t>
      </w:r>
      <w:r w:rsidR="00B82B3C" w:rsidRPr="004261C0">
        <w:rPr>
          <w:rFonts w:cs="Calibri"/>
          <w:sz w:val="24"/>
          <w:szCs w:val="24"/>
        </w:rPr>
        <w:t>4</w:t>
      </w:r>
      <w:r w:rsidRPr="004261C0">
        <w:rPr>
          <w:rFonts w:cs="Calibri"/>
          <w:sz w:val="24"/>
          <w:szCs w:val="24"/>
        </w:rPr>
        <w:t xml:space="preserve"> Affordable Housing Mixed Use Overlay Zone; specifically, parking lots shall be exempt from the requirement that a minimum of five percent (5%) of the interior area of the lot be provided with planting islands.</w:t>
      </w:r>
    </w:p>
    <w:p w14:paraId="3A43A398" w14:textId="77777777" w:rsidR="003D59B3" w:rsidRPr="004261C0" w:rsidRDefault="003D59B3" w:rsidP="004261C0">
      <w:pPr>
        <w:ind w:left="360"/>
        <w:rPr>
          <w:rFonts w:ascii="Calibri" w:hAnsi="Calibri" w:cs="Calibri"/>
        </w:rPr>
      </w:pPr>
    </w:p>
    <w:p w14:paraId="757CD6E1" w14:textId="77777777" w:rsidR="003D59B3" w:rsidRPr="004261C0" w:rsidRDefault="003D59B3" w:rsidP="004261C0">
      <w:pPr>
        <w:rPr>
          <w:rFonts w:ascii="Calibri" w:hAnsi="Calibri" w:cs="Calibri"/>
        </w:rPr>
      </w:pPr>
      <w:r w:rsidRPr="004261C0">
        <w:rPr>
          <w:rFonts w:ascii="Calibri" w:hAnsi="Calibri" w:cs="Calibri"/>
          <w:b/>
          <w:bCs/>
          <w:u w:val="single"/>
        </w:rPr>
        <w:t>SECTION 3</w:t>
      </w:r>
      <w:r w:rsidRPr="004261C0">
        <w:rPr>
          <w:rFonts w:ascii="Calibri" w:hAnsi="Calibri" w:cs="Calibri"/>
          <w:u w:val="single"/>
        </w:rPr>
        <w:t xml:space="preserve">. </w:t>
      </w:r>
      <w:r w:rsidRPr="004261C0">
        <w:rPr>
          <w:rFonts w:ascii="Calibri" w:hAnsi="Calibri" w:cs="Calibri"/>
        </w:rPr>
        <w:t>All Ordinances, or parts thereof, inconsistent with the provision of this Ordinance, and the same are hereby repealed to the extent of such inconsistency.</w:t>
      </w:r>
    </w:p>
    <w:p w14:paraId="683B0667" w14:textId="77777777" w:rsidR="003D59B3" w:rsidRPr="004261C0" w:rsidRDefault="003D59B3" w:rsidP="004261C0">
      <w:pPr>
        <w:rPr>
          <w:rFonts w:ascii="Calibri" w:hAnsi="Calibri" w:cs="Calibri"/>
        </w:rPr>
      </w:pPr>
    </w:p>
    <w:p w14:paraId="514C6DB3" w14:textId="77777777" w:rsidR="003D59B3" w:rsidRPr="004261C0" w:rsidRDefault="003D59B3" w:rsidP="004261C0">
      <w:pPr>
        <w:rPr>
          <w:rFonts w:ascii="Calibri" w:hAnsi="Calibri" w:cs="Calibri"/>
        </w:rPr>
      </w:pPr>
      <w:r w:rsidRPr="004261C0">
        <w:rPr>
          <w:rFonts w:ascii="Calibri" w:hAnsi="Calibri" w:cs="Calibri"/>
          <w:b/>
          <w:bCs/>
          <w:u w:val="single"/>
        </w:rPr>
        <w:t>SECTION 4.</w:t>
      </w:r>
      <w:r w:rsidRPr="004261C0">
        <w:rPr>
          <w:rFonts w:ascii="Calibri" w:hAnsi="Calibri" w:cs="Calibri"/>
          <w:u w:val="single"/>
        </w:rPr>
        <w:t xml:space="preserve"> </w:t>
      </w:r>
      <w:r w:rsidRPr="004261C0">
        <w:rPr>
          <w:rFonts w:ascii="Calibri" w:hAnsi="Calibri" w:cs="Calibri"/>
        </w:rPr>
        <w:t>Should any section, paragraph, clause or any other portion of the Ordinance be adjusted by a Court of competent jurisdiction to be invalid, such judgement shall not affect or impair the remainder of this Ordinance.</w:t>
      </w:r>
    </w:p>
    <w:p w14:paraId="0C82BEEF" w14:textId="77777777" w:rsidR="003D59B3" w:rsidRPr="004261C0" w:rsidRDefault="003D59B3" w:rsidP="004261C0">
      <w:pPr>
        <w:rPr>
          <w:rFonts w:ascii="Calibri" w:hAnsi="Calibri" w:cs="Calibri"/>
          <w:u w:val="single"/>
        </w:rPr>
      </w:pPr>
    </w:p>
    <w:p w14:paraId="16FE4DDE" w14:textId="73088A9F" w:rsidR="00E96F04" w:rsidRPr="00E96F04" w:rsidRDefault="003D59B3" w:rsidP="00DD229E">
      <w:pPr>
        <w:rPr>
          <w:rFonts w:ascii="Calibri" w:hAnsi="Calibri" w:cs="Calibri"/>
        </w:rPr>
      </w:pPr>
      <w:r w:rsidRPr="004261C0">
        <w:rPr>
          <w:rFonts w:ascii="Calibri" w:hAnsi="Calibri" w:cs="Calibri"/>
          <w:b/>
          <w:bCs/>
          <w:u w:val="single"/>
        </w:rPr>
        <w:t>SECTION 5.</w:t>
      </w:r>
      <w:r w:rsidRPr="004261C0">
        <w:rPr>
          <w:rFonts w:ascii="Calibri" w:hAnsi="Calibri" w:cs="Calibri"/>
          <w:u w:val="single"/>
        </w:rPr>
        <w:t xml:space="preserve"> </w:t>
      </w:r>
      <w:r w:rsidRPr="004261C0">
        <w:rPr>
          <w:rFonts w:ascii="Calibri" w:hAnsi="Calibri" w:cs="Calibri"/>
        </w:rPr>
        <w:t>This ordinance shall take effect upon its passage and publication according to law upon the filing of a certified copy thereof with the Monmouth County Planning Board.</w:t>
      </w:r>
      <w:bookmarkStart w:id="1" w:name="_Hlk222408086"/>
    </w:p>
    <w:p w14:paraId="34FDF565"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43"/>
        </w:tabs>
        <w:autoSpaceDE w:val="0"/>
        <w:autoSpaceDN w:val="0"/>
        <w:ind w:right="142"/>
        <w:rPr>
          <w:rFonts w:ascii="Calibri" w:eastAsia="Times New Roman" w:hAnsi="Calibri" w:cs="Calibri"/>
          <w:szCs w:val="22"/>
          <w:bdr w:val="none" w:sz="0" w:space="0" w:color="auto"/>
        </w:rPr>
      </w:pPr>
    </w:p>
    <w:tbl>
      <w:tblPr>
        <w:tblW w:w="5288" w:type="pct"/>
        <w:jc w:val="center"/>
        <w:tblLayout w:type="fixed"/>
        <w:tblCellMar>
          <w:left w:w="72" w:type="dxa"/>
          <w:right w:w="72" w:type="dxa"/>
        </w:tblCellMar>
        <w:tblLook w:val="04A0" w:firstRow="1" w:lastRow="0" w:firstColumn="1" w:lastColumn="0" w:noHBand="0" w:noVBand="1"/>
      </w:tblPr>
      <w:tblGrid>
        <w:gridCol w:w="399"/>
        <w:gridCol w:w="880"/>
        <w:gridCol w:w="2262"/>
        <w:gridCol w:w="688"/>
        <w:gridCol w:w="311"/>
        <w:gridCol w:w="478"/>
        <w:gridCol w:w="897"/>
        <w:gridCol w:w="404"/>
        <w:gridCol w:w="1157"/>
        <w:gridCol w:w="2729"/>
        <w:gridCol w:w="608"/>
      </w:tblGrid>
      <w:tr w:rsidR="00E96F04" w:rsidRPr="00E96F04" w14:paraId="2F395F00" w14:textId="77777777" w:rsidTr="00406135">
        <w:trPr>
          <w:trHeight w:val="279"/>
          <w:jc w:val="center"/>
        </w:trPr>
        <w:tc>
          <w:tcPr>
            <w:tcW w:w="591" w:type="pct"/>
            <w:gridSpan w:val="2"/>
            <w:vMerge w:val="restart"/>
            <w:shd w:val="clear" w:color="auto" w:fill="auto"/>
            <w:vAlign w:val="center"/>
            <w:hideMark/>
          </w:tcPr>
          <w:p w14:paraId="0DBC02EE"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
                <w:szCs w:val="22"/>
                <w:bdr w:val="none" w:sz="0" w:space="0" w:color="auto"/>
              </w:rPr>
            </w:pPr>
            <w:r w:rsidRPr="00E96F04">
              <w:rPr>
                <w:rFonts w:ascii="Calibri" w:eastAsia="Times New Roman" w:hAnsi="Calibri" w:cs="Calibri"/>
                <w:b/>
                <w:szCs w:val="22"/>
                <w:bdr w:val="none" w:sz="0" w:space="0" w:color="auto"/>
              </w:rPr>
              <w:t>Motion/ Second</w:t>
            </w:r>
          </w:p>
        </w:tc>
        <w:tc>
          <w:tcPr>
            <w:tcW w:w="2865" w:type="pct"/>
            <w:gridSpan w:val="7"/>
            <w:shd w:val="clear" w:color="auto" w:fill="auto"/>
            <w:vAlign w:val="center"/>
            <w:hideMark/>
          </w:tcPr>
          <w:p w14:paraId="00C912C5"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
                <w:szCs w:val="22"/>
                <w:bdr w:val="none" w:sz="0" w:space="0" w:color="auto"/>
              </w:rPr>
            </w:pPr>
            <w:r w:rsidRPr="00E96F04">
              <w:rPr>
                <w:rFonts w:ascii="Calibri" w:eastAsia="Times New Roman" w:hAnsi="Calibri" w:cs="Calibri"/>
                <w:b/>
                <w:szCs w:val="22"/>
                <w:bdr w:val="none" w:sz="0" w:space="0" w:color="auto"/>
              </w:rPr>
              <w:t>Roll Call to Adopt on First Reading</w:t>
            </w:r>
          </w:p>
          <w:p w14:paraId="3CE1CCC9"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rPr>
                <w:rFonts w:ascii="Calibri" w:eastAsia="Times New Roman" w:hAnsi="Calibri" w:cs="Calibri"/>
                <w:b/>
                <w:szCs w:val="22"/>
                <w:bdr w:val="none" w:sz="0" w:space="0" w:color="auto"/>
              </w:rPr>
            </w:pPr>
          </w:p>
        </w:tc>
        <w:tc>
          <w:tcPr>
            <w:tcW w:w="1544" w:type="pct"/>
            <w:gridSpan w:val="2"/>
            <w:vMerge w:val="restart"/>
            <w:shd w:val="clear" w:color="auto" w:fill="auto"/>
            <w:vAlign w:val="center"/>
          </w:tcPr>
          <w:p w14:paraId="3D79FDDB"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 w:right="54"/>
              <w:contextualSpacing/>
              <w:rPr>
                <w:rFonts w:ascii="Calibri" w:eastAsia="Times New Roman" w:hAnsi="Calibri" w:cs="Calibri"/>
                <w:b/>
                <w:bCs/>
                <w:szCs w:val="22"/>
                <w:bdr w:val="none" w:sz="0" w:space="0" w:color="auto"/>
              </w:rPr>
            </w:pPr>
            <w:r w:rsidRPr="00E96F04">
              <w:rPr>
                <w:rFonts w:ascii="Calibri" w:eastAsia="Times New Roman" w:hAnsi="Calibri" w:cs="Calibri"/>
                <w:b/>
                <w:bCs/>
                <w:szCs w:val="22"/>
                <w:bdr w:val="none" w:sz="0" w:space="0" w:color="auto"/>
              </w:rPr>
              <w:t>Adopted on First Reading</w:t>
            </w:r>
          </w:p>
          <w:p w14:paraId="0C0CA0C4"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 w:right="54"/>
              <w:contextualSpacing/>
              <w:rPr>
                <w:rFonts w:ascii="Calibri" w:eastAsia="Times New Roman" w:hAnsi="Calibri" w:cs="Calibri"/>
                <w:szCs w:val="22"/>
                <w:bdr w:val="none" w:sz="0" w:space="0" w:color="auto"/>
              </w:rPr>
            </w:pPr>
            <w:r w:rsidRPr="00E96F04">
              <w:rPr>
                <w:rFonts w:ascii="Calibri" w:eastAsia="Times New Roman" w:hAnsi="Calibri" w:cs="Calibri"/>
                <w:b/>
                <w:bCs/>
                <w:szCs w:val="22"/>
                <w:bdr w:val="none" w:sz="0" w:space="0" w:color="auto"/>
              </w:rPr>
              <w:t>Dated:</w:t>
            </w:r>
            <w:r w:rsidRPr="00E96F04">
              <w:rPr>
                <w:rFonts w:ascii="Calibri" w:eastAsia="Times New Roman" w:hAnsi="Calibri" w:cs="Calibri"/>
                <w:szCs w:val="22"/>
                <w:bdr w:val="none" w:sz="0" w:space="0" w:color="auto"/>
              </w:rPr>
              <w:t xml:space="preserve"> February 23, 2026</w:t>
            </w:r>
          </w:p>
          <w:p w14:paraId="5B802963"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rPr>
                <w:rFonts w:ascii="Calibri" w:eastAsia="Times New Roman" w:hAnsi="Calibri" w:cs="Calibri"/>
                <w:szCs w:val="22"/>
                <w:bdr w:val="none" w:sz="0" w:space="0" w:color="auto"/>
              </w:rPr>
            </w:pPr>
          </w:p>
          <w:p w14:paraId="5EC09EEB"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____________________</w:t>
            </w:r>
          </w:p>
          <w:p w14:paraId="1E9D830D"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William Bray, RMC, CMR</w:t>
            </w:r>
          </w:p>
          <w:p w14:paraId="1BB94FDC"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Township Clerk</w:t>
            </w:r>
          </w:p>
        </w:tc>
      </w:tr>
      <w:tr w:rsidR="00E96F04" w:rsidRPr="00E96F04" w14:paraId="772260F4" w14:textId="77777777" w:rsidTr="00406135">
        <w:trPr>
          <w:trHeight w:val="145"/>
          <w:jc w:val="center"/>
        </w:trPr>
        <w:tc>
          <w:tcPr>
            <w:tcW w:w="591" w:type="pct"/>
            <w:gridSpan w:val="2"/>
            <w:vMerge/>
            <w:shd w:val="clear" w:color="auto" w:fill="auto"/>
            <w:vAlign w:val="center"/>
          </w:tcPr>
          <w:p w14:paraId="46FE3FB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c>
          <w:tcPr>
            <w:tcW w:w="1046" w:type="pct"/>
            <w:shd w:val="clear" w:color="auto" w:fill="auto"/>
            <w:vAlign w:val="center"/>
          </w:tcPr>
          <w:p w14:paraId="22DE4816"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c>
          <w:tcPr>
            <w:tcW w:w="318" w:type="pct"/>
            <w:shd w:val="clear" w:color="auto" w:fill="auto"/>
            <w:vAlign w:val="center"/>
            <w:hideMark/>
          </w:tcPr>
          <w:p w14:paraId="4480453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b/>
                <w:bCs/>
                <w:szCs w:val="22"/>
                <w:bdr w:val="none" w:sz="0" w:space="0" w:color="auto"/>
              </w:rPr>
            </w:pPr>
            <w:r w:rsidRPr="00E96F04">
              <w:rPr>
                <w:rFonts w:ascii="Calibri" w:eastAsia="Times New Roman" w:hAnsi="Calibri" w:cs="Calibri"/>
                <w:b/>
                <w:bCs/>
                <w:szCs w:val="22"/>
                <w:bdr w:val="none" w:sz="0" w:space="0" w:color="auto"/>
              </w:rPr>
              <w:t>YAY</w:t>
            </w:r>
          </w:p>
        </w:tc>
        <w:tc>
          <w:tcPr>
            <w:tcW w:w="365" w:type="pct"/>
            <w:gridSpan w:val="2"/>
            <w:shd w:val="clear" w:color="auto" w:fill="auto"/>
            <w:vAlign w:val="center"/>
            <w:hideMark/>
          </w:tcPr>
          <w:p w14:paraId="07EC24ED"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b/>
                <w:bCs/>
                <w:szCs w:val="22"/>
                <w:bdr w:val="none" w:sz="0" w:space="0" w:color="auto"/>
              </w:rPr>
            </w:pPr>
            <w:r w:rsidRPr="00E96F04">
              <w:rPr>
                <w:rFonts w:ascii="Calibri" w:eastAsia="Times New Roman" w:hAnsi="Calibri" w:cs="Calibri"/>
                <w:b/>
                <w:bCs/>
                <w:szCs w:val="22"/>
                <w:bdr w:val="none" w:sz="0" w:space="0" w:color="auto"/>
              </w:rPr>
              <w:t>NAY</w:t>
            </w:r>
          </w:p>
        </w:tc>
        <w:tc>
          <w:tcPr>
            <w:tcW w:w="602" w:type="pct"/>
            <w:gridSpan w:val="2"/>
            <w:shd w:val="clear" w:color="auto" w:fill="auto"/>
            <w:vAlign w:val="center"/>
            <w:hideMark/>
          </w:tcPr>
          <w:p w14:paraId="095158B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b/>
                <w:bCs/>
                <w:szCs w:val="22"/>
                <w:bdr w:val="none" w:sz="0" w:space="0" w:color="auto"/>
              </w:rPr>
            </w:pPr>
            <w:r w:rsidRPr="00E96F04">
              <w:rPr>
                <w:rFonts w:ascii="Calibri" w:eastAsia="Times New Roman" w:hAnsi="Calibri" w:cs="Calibri"/>
                <w:b/>
                <w:bCs/>
                <w:szCs w:val="22"/>
                <w:bdr w:val="none" w:sz="0" w:space="0" w:color="auto"/>
              </w:rPr>
              <w:t>ABSTAIN</w:t>
            </w:r>
          </w:p>
        </w:tc>
        <w:tc>
          <w:tcPr>
            <w:tcW w:w="535" w:type="pct"/>
            <w:shd w:val="clear" w:color="auto" w:fill="auto"/>
            <w:vAlign w:val="center"/>
            <w:hideMark/>
          </w:tcPr>
          <w:p w14:paraId="10C42172"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b/>
                <w:bCs/>
                <w:szCs w:val="22"/>
                <w:bdr w:val="none" w:sz="0" w:space="0" w:color="auto"/>
              </w:rPr>
            </w:pPr>
            <w:r w:rsidRPr="00E96F04">
              <w:rPr>
                <w:rFonts w:ascii="Calibri" w:eastAsia="Times New Roman" w:hAnsi="Calibri" w:cs="Calibri"/>
                <w:b/>
                <w:bCs/>
                <w:szCs w:val="22"/>
                <w:bdr w:val="none" w:sz="0" w:space="0" w:color="auto"/>
              </w:rPr>
              <w:t>ABSENT</w:t>
            </w:r>
          </w:p>
        </w:tc>
        <w:tc>
          <w:tcPr>
            <w:tcW w:w="1544" w:type="pct"/>
            <w:gridSpan w:val="2"/>
            <w:vMerge/>
            <w:shd w:val="clear" w:color="auto" w:fill="auto"/>
            <w:vAlign w:val="center"/>
          </w:tcPr>
          <w:p w14:paraId="4F43CD28"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24599256" w14:textId="77777777" w:rsidTr="00406135">
        <w:trPr>
          <w:trHeight w:val="280"/>
          <w:jc w:val="center"/>
        </w:trPr>
        <w:tc>
          <w:tcPr>
            <w:tcW w:w="591" w:type="pct"/>
            <w:gridSpan w:val="2"/>
            <w:shd w:val="clear" w:color="auto" w:fill="auto"/>
            <w:vAlign w:val="center"/>
          </w:tcPr>
          <w:p w14:paraId="7CEE6048"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p>
        </w:tc>
        <w:tc>
          <w:tcPr>
            <w:tcW w:w="1046" w:type="pct"/>
            <w:shd w:val="clear" w:color="auto" w:fill="auto"/>
            <w:vAlign w:val="center"/>
          </w:tcPr>
          <w:p w14:paraId="5FF09CDF"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 xml:space="preserve">Robert Lane, Jr. </w:t>
            </w:r>
          </w:p>
        </w:tc>
        <w:tc>
          <w:tcPr>
            <w:tcW w:w="318" w:type="pct"/>
            <w:shd w:val="clear" w:color="auto" w:fill="auto"/>
            <w:vAlign w:val="center"/>
          </w:tcPr>
          <w:p w14:paraId="2CBEF473"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vAlign w:val="center"/>
          </w:tcPr>
          <w:p w14:paraId="34B4A6A9"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vAlign w:val="center"/>
          </w:tcPr>
          <w:p w14:paraId="116A74CB"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vAlign w:val="center"/>
          </w:tcPr>
          <w:p w14:paraId="3C0F499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vMerge/>
            <w:shd w:val="clear" w:color="auto" w:fill="auto"/>
            <w:vAlign w:val="center"/>
          </w:tcPr>
          <w:p w14:paraId="31870863"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289985D0" w14:textId="77777777" w:rsidTr="00406135">
        <w:trPr>
          <w:trHeight w:val="279"/>
          <w:jc w:val="center"/>
        </w:trPr>
        <w:tc>
          <w:tcPr>
            <w:tcW w:w="591" w:type="pct"/>
            <w:gridSpan w:val="2"/>
            <w:shd w:val="clear" w:color="auto" w:fill="auto"/>
            <w:vAlign w:val="center"/>
          </w:tcPr>
          <w:p w14:paraId="1B4FB4F3"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center"/>
              <w:rPr>
                <w:rFonts w:ascii="Calibri" w:eastAsia="Times New Roman" w:hAnsi="Calibri" w:cs="Calibri"/>
                <w:szCs w:val="22"/>
                <w:bdr w:val="none" w:sz="0" w:space="0" w:color="auto"/>
              </w:rPr>
            </w:pPr>
          </w:p>
        </w:tc>
        <w:tc>
          <w:tcPr>
            <w:tcW w:w="1046" w:type="pct"/>
            <w:shd w:val="clear" w:color="auto" w:fill="auto"/>
            <w:vAlign w:val="center"/>
          </w:tcPr>
          <w:p w14:paraId="5BDDA199"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Rev. Tassie York</w:t>
            </w:r>
          </w:p>
        </w:tc>
        <w:tc>
          <w:tcPr>
            <w:tcW w:w="318" w:type="pct"/>
            <w:shd w:val="clear" w:color="auto" w:fill="auto"/>
            <w:vAlign w:val="center"/>
          </w:tcPr>
          <w:p w14:paraId="608D43D2"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vAlign w:val="center"/>
          </w:tcPr>
          <w:p w14:paraId="266FB5F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vAlign w:val="center"/>
          </w:tcPr>
          <w:p w14:paraId="26A3B28C"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vAlign w:val="center"/>
          </w:tcPr>
          <w:p w14:paraId="71057016"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vMerge/>
            <w:shd w:val="clear" w:color="auto" w:fill="auto"/>
            <w:vAlign w:val="center"/>
          </w:tcPr>
          <w:p w14:paraId="78A9E3EA"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2C63A905" w14:textId="77777777" w:rsidTr="00406135">
        <w:trPr>
          <w:trHeight w:val="279"/>
          <w:jc w:val="center"/>
        </w:trPr>
        <w:tc>
          <w:tcPr>
            <w:tcW w:w="591" w:type="pct"/>
            <w:gridSpan w:val="2"/>
            <w:shd w:val="clear" w:color="auto" w:fill="auto"/>
            <w:vAlign w:val="center"/>
          </w:tcPr>
          <w:p w14:paraId="24AF558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center"/>
              <w:rPr>
                <w:rFonts w:ascii="Calibri" w:eastAsia="Times New Roman" w:hAnsi="Calibri" w:cs="Calibri"/>
                <w:szCs w:val="22"/>
                <w:bdr w:val="none" w:sz="0" w:space="0" w:color="auto"/>
              </w:rPr>
            </w:pPr>
          </w:p>
        </w:tc>
        <w:tc>
          <w:tcPr>
            <w:tcW w:w="1046" w:type="pct"/>
            <w:shd w:val="clear" w:color="auto" w:fill="auto"/>
            <w:vAlign w:val="center"/>
          </w:tcPr>
          <w:p w14:paraId="757000A4"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Bryan Acciani</w:t>
            </w:r>
          </w:p>
        </w:tc>
        <w:tc>
          <w:tcPr>
            <w:tcW w:w="318" w:type="pct"/>
            <w:shd w:val="clear" w:color="auto" w:fill="auto"/>
            <w:vAlign w:val="center"/>
          </w:tcPr>
          <w:p w14:paraId="64D5780E"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vAlign w:val="center"/>
          </w:tcPr>
          <w:p w14:paraId="6C6BA140"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vAlign w:val="center"/>
          </w:tcPr>
          <w:p w14:paraId="7816113A"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vAlign w:val="center"/>
          </w:tcPr>
          <w:p w14:paraId="019FDD6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vMerge/>
            <w:shd w:val="clear" w:color="auto" w:fill="auto"/>
            <w:vAlign w:val="center"/>
          </w:tcPr>
          <w:p w14:paraId="6CFC76BA"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4644657A" w14:textId="77777777" w:rsidTr="00406135">
        <w:trPr>
          <w:trHeight w:val="279"/>
          <w:jc w:val="center"/>
        </w:trPr>
        <w:tc>
          <w:tcPr>
            <w:tcW w:w="591" w:type="pct"/>
            <w:gridSpan w:val="2"/>
            <w:shd w:val="clear" w:color="auto" w:fill="auto"/>
            <w:vAlign w:val="center"/>
          </w:tcPr>
          <w:p w14:paraId="0657F5F8"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p>
        </w:tc>
        <w:tc>
          <w:tcPr>
            <w:tcW w:w="1046" w:type="pct"/>
            <w:shd w:val="clear" w:color="auto" w:fill="auto"/>
            <w:vAlign w:val="center"/>
          </w:tcPr>
          <w:p w14:paraId="7783D3B4"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Derel Stroud</w:t>
            </w:r>
          </w:p>
        </w:tc>
        <w:tc>
          <w:tcPr>
            <w:tcW w:w="318" w:type="pct"/>
            <w:shd w:val="clear" w:color="auto" w:fill="auto"/>
            <w:vAlign w:val="center"/>
          </w:tcPr>
          <w:p w14:paraId="175D8B7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vAlign w:val="center"/>
          </w:tcPr>
          <w:p w14:paraId="7ABC1D6F"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vAlign w:val="center"/>
          </w:tcPr>
          <w:p w14:paraId="1DC216EC"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vAlign w:val="center"/>
          </w:tcPr>
          <w:p w14:paraId="39F62F48"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vMerge/>
            <w:shd w:val="clear" w:color="auto" w:fill="auto"/>
            <w:vAlign w:val="center"/>
          </w:tcPr>
          <w:p w14:paraId="3480A4F0"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5EE8989D" w14:textId="77777777" w:rsidTr="00406135">
        <w:trPr>
          <w:trHeight w:val="305"/>
          <w:jc w:val="center"/>
        </w:trPr>
        <w:tc>
          <w:tcPr>
            <w:tcW w:w="591" w:type="pct"/>
            <w:gridSpan w:val="2"/>
            <w:shd w:val="clear" w:color="auto" w:fill="auto"/>
            <w:vAlign w:val="center"/>
          </w:tcPr>
          <w:p w14:paraId="48F5CE70"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center"/>
              <w:rPr>
                <w:rFonts w:ascii="Calibri" w:eastAsia="Times New Roman" w:hAnsi="Calibri" w:cs="Calibri"/>
                <w:szCs w:val="22"/>
                <w:bdr w:val="none" w:sz="0" w:space="0" w:color="auto"/>
              </w:rPr>
            </w:pPr>
          </w:p>
        </w:tc>
        <w:tc>
          <w:tcPr>
            <w:tcW w:w="1046" w:type="pct"/>
            <w:shd w:val="clear" w:color="auto" w:fill="auto"/>
          </w:tcPr>
          <w:p w14:paraId="18FD85B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Kevin B. McMillan</w:t>
            </w:r>
          </w:p>
        </w:tc>
        <w:tc>
          <w:tcPr>
            <w:tcW w:w="318" w:type="pct"/>
            <w:shd w:val="clear" w:color="auto" w:fill="auto"/>
          </w:tcPr>
          <w:p w14:paraId="50FF8DF4"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tcPr>
          <w:p w14:paraId="76F5A6A0"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tcPr>
          <w:p w14:paraId="490631EC"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tcPr>
          <w:p w14:paraId="0DB616DC"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vMerge/>
            <w:shd w:val="clear" w:color="auto" w:fill="auto"/>
            <w:vAlign w:val="center"/>
          </w:tcPr>
          <w:p w14:paraId="1D97AD85"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605FB7E0" w14:textId="77777777" w:rsidTr="00406135">
        <w:trPr>
          <w:trHeight w:val="279"/>
          <w:jc w:val="center"/>
        </w:trPr>
        <w:tc>
          <w:tcPr>
            <w:tcW w:w="591" w:type="pct"/>
            <w:gridSpan w:val="2"/>
            <w:shd w:val="clear" w:color="auto" w:fill="auto"/>
            <w:vAlign w:val="center"/>
          </w:tcPr>
          <w:p w14:paraId="1C339BF3"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center"/>
              <w:rPr>
                <w:rFonts w:ascii="Calibri" w:eastAsia="Times New Roman" w:hAnsi="Calibri" w:cs="Calibri"/>
                <w:szCs w:val="22"/>
                <w:bdr w:val="none" w:sz="0" w:space="0" w:color="auto"/>
              </w:rPr>
            </w:pPr>
          </w:p>
        </w:tc>
        <w:tc>
          <w:tcPr>
            <w:tcW w:w="1046" w:type="pct"/>
            <w:shd w:val="clear" w:color="auto" w:fill="auto"/>
            <w:vAlign w:val="center"/>
          </w:tcPr>
          <w:p w14:paraId="02F275C0"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p>
        </w:tc>
        <w:tc>
          <w:tcPr>
            <w:tcW w:w="318" w:type="pct"/>
            <w:shd w:val="clear" w:color="auto" w:fill="auto"/>
            <w:vAlign w:val="center"/>
          </w:tcPr>
          <w:p w14:paraId="2A9BEA45"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vAlign w:val="center"/>
          </w:tcPr>
          <w:p w14:paraId="3A77104B"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vAlign w:val="center"/>
          </w:tcPr>
          <w:p w14:paraId="04B8D2B5"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vAlign w:val="center"/>
          </w:tcPr>
          <w:p w14:paraId="41782BD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shd w:val="clear" w:color="auto" w:fill="auto"/>
            <w:vAlign w:val="center"/>
          </w:tcPr>
          <w:p w14:paraId="3A36B8E3"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6FFA6EBE" w14:textId="77777777" w:rsidTr="00406135">
        <w:tblPrEx>
          <w:tblCellMar>
            <w:left w:w="108" w:type="dxa"/>
            <w:right w:w="108" w:type="dxa"/>
          </w:tblCellMar>
        </w:tblPrEx>
        <w:trPr>
          <w:trHeight w:val="279"/>
          <w:jc w:val="center"/>
        </w:trPr>
        <w:tc>
          <w:tcPr>
            <w:tcW w:w="591" w:type="pct"/>
            <w:gridSpan w:val="2"/>
            <w:vMerge w:val="restart"/>
            <w:shd w:val="clear" w:color="auto" w:fill="auto"/>
            <w:vAlign w:val="center"/>
            <w:hideMark/>
          </w:tcPr>
          <w:p w14:paraId="531DFD4B"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
                <w:szCs w:val="22"/>
                <w:bdr w:val="none" w:sz="0" w:space="0" w:color="auto"/>
              </w:rPr>
            </w:pPr>
            <w:r w:rsidRPr="00E96F04">
              <w:rPr>
                <w:rFonts w:ascii="Calibri" w:eastAsia="Times New Roman" w:hAnsi="Calibri" w:cs="Calibri"/>
                <w:b/>
                <w:szCs w:val="22"/>
                <w:bdr w:val="none" w:sz="0" w:space="0" w:color="auto"/>
              </w:rPr>
              <w:t>Motion/ Second</w:t>
            </w:r>
          </w:p>
        </w:tc>
        <w:tc>
          <w:tcPr>
            <w:tcW w:w="2865" w:type="pct"/>
            <w:gridSpan w:val="7"/>
            <w:shd w:val="clear" w:color="auto" w:fill="auto"/>
            <w:vAlign w:val="center"/>
            <w:hideMark/>
          </w:tcPr>
          <w:p w14:paraId="408AF5D2"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
                <w:szCs w:val="22"/>
                <w:bdr w:val="none" w:sz="0" w:space="0" w:color="auto"/>
              </w:rPr>
            </w:pPr>
            <w:r w:rsidRPr="00E96F04">
              <w:rPr>
                <w:rFonts w:ascii="Calibri" w:eastAsia="Times New Roman" w:hAnsi="Calibri" w:cs="Calibri"/>
                <w:b/>
                <w:szCs w:val="22"/>
                <w:bdr w:val="none" w:sz="0" w:space="0" w:color="auto"/>
              </w:rPr>
              <w:t>Roll Call to Adopt on Second and Final Reading</w:t>
            </w:r>
          </w:p>
        </w:tc>
        <w:tc>
          <w:tcPr>
            <w:tcW w:w="1544" w:type="pct"/>
            <w:gridSpan w:val="2"/>
            <w:vMerge w:val="restart"/>
            <w:shd w:val="clear" w:color="auto" w:fill="auto"/>
            <w:vAlign w:val="center"/>
          </w:tcPr>
          <w:p w14:paraId="2E054F62"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 w:right="54"/>
              <w:contextualSpacing/>
              <w:rPr>
                <w:rFonts w:ascii="Calibri" w:eastAsia="Times New Roman" w:hAnsi="Calibri" w:cs="Calibri"/>
                <w:b/>
                <w:bCs/>
                <w:szCs w:val="22"/>
                <w:bdr w:val="none" w:sz="0" w:space="0" w:color="auto"/>
              </w:rPr>
            </w:pPr>
            <w:r w:rsidRPr="00E96F04">
              <w:rPr>
                <w:rFonts w:ascii="Calibri" w:eastAsia="Times New Roman" w:hAnsi="Calibri" w:cs="Calibri"/>
                <w:b/>
                <w:bCs/>
                <w:szCs w:val="22"/>
                <w:bdr w:val="none" w:sz="0" w:space="0" w:color="auto"/>
              </w:rPr>
              <w:t>Adopted on Second Reading</w:t>
            </w:r>
          </w:p>
          <w:p w14:paraId="1CC3312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0" w:right="54"/>
              <w:contextualSpacing/>
              <w:rPr>
                <w:rFonts w:ascii="Calibri" w:eastAsia="Times New Roman" w:hAnsi="Calibri" w:cs="Calibri"/>
                <w:szCs w:val="22"/>
                <w:bdr w:val="none" w:sz="0" w:space="0" w:color="auto"/>
              </w:rPr>
            </w:pPr>
            <w:r w:rsidRPr="00E96F04">
              <w:rPr>
                <w:rFonts w:ascii="Calibri" w:eastAsia="Times New Roman" w:hAnsi="Calibri" w:cs="Calibri"/>
                <w:b/>
                <w:bCs/>
                <w:szCs w:val="22"/>
                <w:bdr w:val="none" w:sz="0" w:space="0" w:color="auto"/>
              </w:rPr>
              <w:t>Dated:</w:t>
            </w:r>
            <w:r w:rsidRPr="00E96F04">
              <w:rPr>
                <w:rFonts w:ascii="Calibri" w:eastAsia="Times New Roman" w:hAnsi="Calibri" w:cs="Calibri"/>
                <w:szCs w:val="22"/>
                <w:bdr w:val="none" w:sz="0" w:space="0" w:color="auto"/>
              </w:rPr>
              <w:t xml:space="preserve"> March 9, 2026 </w:t>
            </w:r>
          </w:p>
          <w:p w14:paraId="0740804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p>
          <w:p w14:paraId="5084F91B"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____________________</w:t>
            </w:r>
          </w:p>
          <w:p w14:paraId="1855633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William Bray, RMC, CMR</w:t>
            </w:r>
          </w:p>
          <w:p w14:paraId="1ECB153C"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Township Clerk</w:t>
            </w:r>
          </w:p>
        </w:tc>
      </w:tr>
      <w:tr w:rsidR="00E96F04" w:rsidRPr="00E96F04" w14:paraId="6C5D06AB" w14:textId="77777777" w:rsidTr="00406135">
        <w:tblPrEx>
          <w:tblCellMar>
            <w:left w:w="108" w:type="dxa"/>
            <w:right w:w="108" w:type="dxa"/>
          </w:tblCellMar>
        </w:tblPrEx>
        <w:trPr>
          <w:trHeight w:val="145"/>
          <w:jc w:val="center"/>
        </w:trPr>
        <w:tc>
          <w:tcPr>
            <w:tcW w:w="591" w:type="pct"/>
            <w:gridSpan w:val="2"/>
            <w:vMerge/>
            <w:shd w:val="clear" w:color="auto" w:fill="auto"/>
            <w:vAlign w:val="center"/>
          </w:tcPr>
          <w:p w14:paraId="757767F4"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c>
          <w:tcPr>
            <w:tcW w:w="1046" w:type="pct"/>
            <w:shd w:val="clear" w:color="auto" w:fill="auto"/>
            <w:vAlign w:val="center"/>
          </w:tcPr>
          <w:p w14:paraId="00DC027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c>
          <w:tcPr>
            <w:tcW w:w="318" w:type="pct"/>
            <w:shd w:val="clear" w:color="auto" w:fill="auto"/>
            <w:vAlign w:val="center"/>
            <w:hideMark/>
          </w:tcPr>
          <w:p w14:paraId="135653D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b/>
                <w:bCs/>
                <w:szCs w:val="22"/>
                <w:bdr w:val="none" w:sz="0" w:space="0" w:color="auto"/>
              </w:rPr>
            </w:pPr>
            <w:r w:rsidRPr="00E96F04">
              <w:rPr>
                <w:rFonts w:ascii="Calibri" w:eastAsia="Times New Roman" w:hAnsi="Calibri" w:cs="Calibri"/>
                <w:b/>
                <w:bCs/>
                <w:szCs w:val="22"/>
                <w:bdr w:val="none" w:sz="0" w:space="0" w:color="auto"/>
              </w:rPr>
              <w:t>YAY</w:t>
            </w:r>
          </w:p>
        </w:tc>
        <w:tc>
          <w:tcPr>
            <w:tcW w:w="365" w:type="pct"/>
            <w:gridSpan w:val="2"/>
            <w:shd w:val="clear" w:color="auto" w:fill="auto"/>
            <w:vAlign w:val="center"/>
            <w:hideMark/>
          </w:tcPr>
          <w:p w14:paraId="71DB07B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b/>
                <w:bCs/>
                <w:szCs w:val="22"/>
                <w:bdr w:val="none" w:sz="0" w:space="0" w:color="auto"/>
              </w:rPr>
            </w:pPr>
            <w:r w:rsidRPr="00E96F04">
              <w:rPr>
                <w:rFonts w:ascii="Calibri" w:eastAsia="Times New Roman" w:hAnsi="Calibri" w:cs="Calibri"/>
                <w:b/>
                <w:bCs/>
                <w:szCs w:val="22"/>
                <w:bdr w:val="none" w:sz="0" w:space="0" w:color="auto"/>
              </w:rPr>
              <w:t>NAY</w:t>
            </w:r>
          </w:p>
        </w:tc>
        <w:tc>
          <w:tcPr>
            <w:tcW w:w="602" w:type="pct"/>
            <w:gridSpan w:val="2"/>
            <w:shd w:val="clear" w:color="auto" w:fill="auto"/>
            <w:vAlign w:val="center"/>
            <w:hideMark/>
          </w:tcPr>
          <w:p w14:paraId="7AC3EE0D"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b/>
                <w:bCs/>
                <w:szCs w:val="22"/>
                <w:bdr w:val="none" w:sz="0" w:space="0" w:color="auto"/>
              </w:rPr>
            </w:pPr>
            <w:r w:rsidRPr="00E96F04">
              <w:rPr>
                <w:rFonts w:ascii="Calibri" w:eastAsia="Times New Roman" w:hAnsi="Calibri" w:cs="Calibri"/>
                <w:b/>
                <w:bCs/>
                <w:szCs w:val="22"/>
                <w:bdr w:val="none" w:sz="0" w:space="0" w:color="auto"/>
              </w:rPr>
              <w:t>ABSTAIN</w:t>
            </w:r>
          </w:p>
        </w:tc>
        <w:tc>
          <w:tcPr>
            <w:tcW w:w="535" w:type="pct"/>
            <w:shd w:val="clear" w:color="auto" w:fill="auto"/>
            <w:vAlign w:val="center"/>
            <w:hideMark/>
          </w:tcPr>
          <w:p w14:paraId="499066FA"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b/>
                <w:bCs/>
                <w:szCs w:val="22"/>
                <w:bdr w:val="none" w:sz="0" w:space="0" w:color="auto"/>
              </w:rPr>
            </w:pPr>
            <w:r w:rsidRPr="00E96F04">
              <w:rPr>
                <w:rFonts w:ascii="Calibri" w:eastAsia="Times New Roman" w:hAnsi="Calibri" w:cs="Calibri"/>
                <w:b/>
                <w:bCs/>
                <w:szCs w:val="22"/>
                <w:bdr w:val="none" w:sz="0" w:space="0" w:color="auto"/>
              </w:rPr>
              <w:t>ABSENT</w:t>
            </w:r>
          </w:p>
        </w:tc>
        <w:tc>
          <w:tcPr>
            <w:tcW w:w="1544" w:type="pct"/>
            <w:gridSpan w:val="2"/>
            <w:vMerge/>
            <w:shd w:val="clear" w:color="auto" w:fill="auto"/>
            <w:vAlign w:val="center"/>
          </w:tcPr>
          <w:p w14:paraId="43CB6135"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052A7C41"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47D5B4D9"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rPr>
                <w:rFonts w:ascii="Calibri" w:eastAsia="Times New Roman" w:hAnsi="Calibri" w:cs="Calibri"/>
                <w:szCs w:val="22"/>
                <w:bdr w:val="none" w:sz="0" w:space="0" w:color="auto"/>
              </w:rPr>
            </w:pPr>
          </w:p>
        </w:tc>
        <w:tc>
          <w:tcPr>
            <w:tcW w:w="1046" w:type="pct"/>
            <w:shd w:val="clear" w:color="auto" w:fill="auto"/>
            <w:vAlign w:val="center"/>
          </w:tcPr>
          <w:p w14:paraId="6C87C3DE"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 xml:space="preserve">Robert Lane, Jr. </w:t>
            </w:r>
          </w:p>
        </w:tc>
        <w:tc>
          <w:tcPr>
            <w:tcW w:w="318" w:type="pct"/>
            <w:shd w:val="clear" w:color="auto" w:fill="auto"/>
            <w:vAlign w:val="center"/>
          </w:tcPr>
          <w:p w14:paraId="2F72101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vAlign w:val="center"/>
          </w:tcPr>
          <w:p w14:paraId="45E00052"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vAlign w:val="center"/>
          </w:tcPr>
          <w:p w14:paraId="3D792BF2"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vAlign w:val="center"/>
          </w:tcPr>
          <w:p w14:paraId="6C97BACD"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vMerge/>
            <w:shd w:val="clear" w:color="auto" w:fill="auto"/>
            <w:vAlign w:val="center"/>
          </w:tcPr>
          <w:p w14:paraId="13E64D2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59F8B29E"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49ED8E19"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p>
        </w:tc>
        <w:tc>
          <w:tcPr>
            <w:tcW w:w="1046" w:type="pct"/>
            <w:shd w:val="clear" w:color="auto" w:fill="auto"/>
            <w:vAlign w:val="center"/>
          </w:tcPr>
          <w:p w14:paraId="39712FAC"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Rev. Tassie York</w:t>
            </w:r>
          </w:p>
        </w:tc>
        <w:tc>
          <w:tcPr>
            <w:tcW w:w="318" w:type="pct"/>
            <w:shd w:val="clear" w:color="auto" w:fill="auto"/>
            <w:vAlign w:val="center"/>
          </w:tcPr>
          <w:p w14:paraId="463EA41D"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vAlign w:val="center"/>
          </w:tcPr>
          <w:p w14:paraId="6C2AC313"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vAlign w:val="center"/>
          </w:tcPr>
          <w:p w14:paraId="3F8AA83D"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vAlign w:val="center"/>
          </w:tcPr>
          <w:p w14:paraId="4564FB36"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vMerge/>
            <w:shd w:val="clear" w:color="auto" w:fill="auto"/>
            <w:vAlign w:val="center"/>
          </w:tcPr>
          <w:p w14:paraId="4E06124B"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48273E90"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34E93C6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rPr>
                <w:rFonts w:ascii="Calibri" w:eastAsia="Times New Roman" w:hAnsi="Calibri" w:cs="Calibri"/>
                <w:szCs w:val="22"/>
                <w:bdr w:val="none" w:sz="0" w:space="0" w:color="auto"/>
              </w:rPr>
            </w:pPr>
          </w:p>
        </w:tc>
        <w:tc>
          <w:tcPr>
            <w:tcW w:w="1046" w:type="pct"/>
            <w:shd w:val="clear" w:color="auto" w:fill="auto"/>
            <w:vAlign w:val="center"/>
          </w:tcPr>
          <w:p w14:paraId="72BF0F8F"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Bryan Acciani</w:t>
            </w:r>
          </w:p>
        </w:tc>
        <w:tc>
          <w:tcPr>
            <w:tcW w:w="318" w:type="pct"/>
            <w:shd w:val="clear" w:color="auto" w:fill="auto"/>
            <w:vAlign w:val="center"/>
          </w:tcPr>
          <w:p w14:paraId="26C4E07B"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vAlign w:val="center"/>
          </w:tcPr>
          <w:p w14:paraId="69E4882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vAlign w:val="center"/>
          </w:tcPr>
          <w:p w14:paraId="7F48263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vAlign w:val="center"/>
          </w:tcPr>
          <w:p w14:paraId="0DEF1B52"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vMerge/>
            <w:shd w:val="clear" w:color="auto" w:fill="auto"/>
            <w:vAlign w:val="center"/>
          </w:tcPr>
          <w:p w14:paraId="28F7DEB3"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6A28C632"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2497E35F"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p>
        </w:tc>
        <w:tc>
          <w:tcPr>
            <w:tcW w:w="1046" w:type="pct"/>
            <w:shd w:val="clear" w:color="auto" w:fill="auto"/>
            <w:vAlign w:val="center"/>
          </w:tcPr>
          <w:p w14:paraId="71FA6ACE"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Derel Stroud</w:t>
            </w:r>
          </w:p>
        </w:tc>
        <w:tc>
          <w:tcPr>
            <w:tcW w:w="318" w:type="pct"/>
            <w:shd w:val="clear" w:color="auto" w:fill="auto"/>
            <w:vAlign w:val="center"/>
          </w:tcPr>
          <w:p w14:paraId="2EE062FD"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vAlign w:val="center"/>
          </w:tcPr>
          <w:p w14:paraId="71424B04"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vAlign w:val="center"/>
          </w:tcPr>
          <w:p w14:paraId="1744C0C2"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vAlign w:val="center"/>
          </w:tcPr>
          <w:p w14:paraId="43A37FF5"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vMerge/>
            <w:shd w:val="clear" w:color="auto" w:fill="auto"/>
            <w:vAlign w:val="center"/>
          </w:tcPr>
          <w:p w14:paraId="7270BDA8"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52BFB458" w14:textId="77777777" w:rsidTr="00406135">
        <w:tblPrEx>
          <w:tblCellMar>
            <w:left w:w="108" w:type="dxa"/>
            <w:right w:w="108" w:type="dxa"/>
          </w:tblCellMar>
        </w:tblPrEx>
        <w:trPr>
          <w:trHeight w:val="306"/>
          <w:jc w:val="center"/>
        </w:trPr>
        <w:tc>
          <w:tcPr>
            <w:tcW w:w="591" w:type="pct"/>
            <w:gridSpan w:val="2"/>
            <w:shd w:val="clear" w:color="auto" w:fill="auto"/>
            <w:vAlign w:val="center"/>
          </w:tcPr>
          <w:p w14:paraId="39486938"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p>
        </w:tc>
        <w:tc>
          <w:tcPr>
            <w:tcW w:w="1046" w:type="pct"/>
            <w:shd w:val="clear" w:color="auto" w:fill="auto"/>
          </w:tcPr>
          <w:p w14:paraId="29F9694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szCs w:val="22"/>
                <w:bdr w:val="none" w:sz="0" w:space="0" w:color="auto"/>
              </w:rPr>
            </w:pPr>
            <w:r w:rsidRPr="00E96F04">
              <w:rPr>
                <w:rFonts w:ascii="Calibri" w:eastAsia="Times New Roman" w:hAnsi="Calibri" w:cs="Calibri"/>
                <w:szCs w:val="22"/>
                <w:bdr w:val="none" w:sz="0" w:space="0" w:color="auto"/>
              </w:rPr>
              <w:t>Kevin B. McMillan</w:t>
            </w:r>
          </w:p>
        </w:tc>
        <w:tc>
          <w:tcPr>
            <w:tcW w:w="318" w:type="pct"/>
            <w:shd w:val="clear" w:color="auto" w:fill="auto"/>
            <w:vAlign w:val="center"/>
          </w:tcPr>
          <w:p w14:paraId="6047A945"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365" w:type="pct"/>
            <w:gridSpan w:val="2"/>
            <w:shd w:val="clear" w:color="auto" w:fill="auto"/>
            <w:vAlign w:val="center"/>
          </w:tcPr>
          <w:p w14:paraId="3835A0EC"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602" w:type="pct"/>
            <w:gridSpan w:val="2"/>
            <w:shd w:val="clear" w:color="auto" w:fill="auto"/>
            <w:vAlign w:val="center"/>
          </w:tcPr>
          <w:p w14:paraId="7C6B43F0"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535" w:type="pct"/>
            <w:shd w:val="clear" w:color="auto" w:fill="auto"/>
            <w:vAlign w:val="center"/>
          </w:tcPr>
          <w:p w14:paraId="3A1A55F5"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5" w:right="54"/>
              <w:contextualSpacing/>
              <w:jc w:val="center"/>
              <w:rPr>
                <w:rFonts w:ascii="Calibri" w:eastAsia="Times New Roman" w:hAnsi="Calibri" w:cs="Calibri"/>
                <w:szCs w:val="22"/>
                <w:bdr w:val="none" w:sz="0" w:space="0" w:color="auto"/>
              </w:rPr>
            </w:pPr>
          </w:p>
        </w:tc>
        <w:tc>
          <w:tcPr>
            <w:tcW w:w="1544" w:type="pct"/>
            <w:gridSpan w:val="2"/>
            <w:vMerge/>
            <w:shd w:val="clear" w:color="auto" w:fill="auto"/>
            <w:vAlign w:val="center"/>
          </w:tcPr>
          <w:p w14:paraId="1F6076F1"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1" w:right="54"/>
              <w:contextualSpacing/>
              <w:jc w:val="center"/>
              <w:rPr>
                <w:rFonts w:ascii="Calibri" w:eastAsia="Times New Roman" w:hAnsi="Calibri" w:cs="Calibri"/>
                <w:szCs w:val="22"/>
                <w:bdr w:val="none" w:sz="0" w:space="0" w:color="auto"/>
              </w:rPr>
            </w:pPr>
          </w:p>
        </w:tc>
      </w:tr>
      <w:tr w:rsidR="00E96F04" w:rsidRPr="00E96F04" w14:paraId="3139BF9D"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1F768809"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
                <w:szCs w:val="22"/>
                <w:bdr w:val="none" w:sz="0" w:space="0" w:color="auto"/>
              </w:rPr>
            </w:pPr>
            <w:r w:rsidRPr="00E96F04">
              <w:rPr>
                <w:rFonts w:ascii="Calibri" w:eastAsia="Times New Roman" w:hAnsi="Calibri" w:cs="Calibri"/>
                <w:b/>
                <w:szCs w:val="22"/>
                <w:bdr w:val="none" w:sz="0" w:space="0" w:color="auto"/>
              </w:rPr>
              <w:t>Attest:</w:t>
            </w:r>
          </w:p>
        </w:tc>
        <w:tc>
          <w:tcPr>
            <w:tcW w:w="636" w:type="pct"/>
            <w:gridSpan w:val="2"/>
            <w:shd w:val="clear" w:color="auto" w:fill="auto"/>
          </w:tcPr>
          <w:p w14:paraId="214D829C"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p>
        </w:tc>
        <w:tc>
          <w:tcPr>
            <w:tcW w:w="1984" w:type="pct"/>
            <w:gridSpan w:val="3"/>
            <w:shd w:val="clear" w:color="auto" w:fill="auto"/>
          </w:tcPr>
          <w:p w14:paraId="35985D22"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Cs/>
                <w:szCs w:val="22"/>
                <w:bdr w:val="none" w:sz="0" w:space="0" w:color="auto"/>
              </w:rPr>
            </w:pPr>
          </w:p>
        </w:tc>
      </w:tr>
      <w:tr w:rsidR="00E96F04" w:rsidRPr="00E96F04" w14:paraId="28787B79"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0F78B0D8"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
                <w:szCs w:val="22"/>
                <w:bdr w:val="none" w:sz="0" w:space="0" w:color="auto"/>
              </w:rPr>
            </w:pPr>
          </w:p>
        </w:tc>
        <w:tc>
          <w:tcPr>
            <w:tcW w:w="636" w:type="pct"/>
            <w:gridSpan w:val="2"/>
            <w:shd w:val="clear" w:color="auto" w:fill="auto"/>
          </w:tcPr>
          <w:p w14:paraId="24251AE6"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p>
        </w:tc>
        <w:tc>
          <w:tcPr>
            <w:tcW w:w="1984" w:type="pct"/>
            <w:gridSpan w:val="3"/>
            <w:shd w:val="clear" w:color="auto" w:fill="auto"/>
          </w:tcPr>
          <w:p w14:paraId="3E85A785"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Cs/>
                <w:szCs w:val="22"/>
                <w:bdr w:val="none" w:sz="0" w:space="0" w:color="auto"/>
              </w:rPr>
            </w:pPr>
          </w:p>
        </w:tc>
      </w:tr>
      <w:tr w:rsidR="00E96F04" w:rsidRPr="00E96F04" w14:paraId="1AF6F3CE"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hideMark/>
          </w:tcPr>
          <w:p w14:paraId="3125A8D9"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r w:rsidRPr="00E96F04">
              <w:rPr>
                <w:rFonts w:ascii="Calibri" w:eastAsia="Times New Roman" w:hAnsi="Calibri" w:cs="Calibri"/>
                <w:bCs/>
                <w:szCs w:val="22"/>
                <w:bdr w:val="none" w:sz="0" w:space="0" w:color="auto"/>
              </w:rPr>
              <w:t>William Bray, RMC, CMR</w:t>
            </w:r>
          </w:p>
          <w:p w14:paraId="0CCB6926"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
                <w:szCs w:val="22"/>
                <w:bdr w:val="none" w:sz="0" w:space="0" w:color="auto"/>
              </w:rPr>
            </w:pPr>
            <w:r w:rsidRPr="00E96F04">
              <w:rPr>
                <w:rFonts w:ascii="Calibri" w:eastAsia="Times New Roman" w:hAnsi="Calibri" w:cs="Calibri"/>
                <w:b/>
                <w:szCs w:val="22"/>
                <w:bdr w:val="none" w:sz="0" w:space="0" w:color="auto"/>
              </w:rPr>
              <w:t>Township Clerk</w:t>
            </w:r>
          </w:p>
        </w:tc>
        <w:tc>
          <w:tcPr>
            <w:tcW w:w="636" w:type="pct"/>
            <w:gridSpan w:val="2"/>
            <w:shd w:val="clear" w:color="auto" w:fill="auto"/>
          </w:tcPr>
          <w:p w14:paraId="728D81E3"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p>
        </w:tc>
        <w:tc>
          <w:tcPr>
            <w:tcW w:w="1984" w:type="pct"/>
            <w:gridSpan w:val="3"/>
            <w:shd w:val="clear" w:color="auto" w:fill="auto"/>
            <w:hideMark/>
          </w:tcPr>
          <w:p w14:paraId="39BCCC50"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
                <w:szCs w:val="22"/>
                <w:bdr w:val="none" w:sz="0" w:space="0" w:color="auto"/>
              </w:rPr>
            </w:pPr>
            <w:r w:rsidRPr="00E96F04">
              <w:rPr>
                <w:rFonts w:ascii="Calibri" w:eastAsia="Times New Roman" w:hAnsi="Calibri" w:cs="Calibri"/>
                <w:bCs/>
                <w:szCs w:val="22"/>
                <w:bdr w:val="none" w:sz="0" w:space="0" w:color="auto"/>
              </w:rPr>
              <w:t>Kevin B. McMillan</w:t>
            </w:r>
            <w:r w:rsidRPr="00E96F04">
              <w:rPr>
                <w:rFonts w:ascii="Calibri" w:eastAsia="Times New Roman" w:hAnsi="Calibri" w:cs="Calibri"/>
                <w:b/>
                <w:szCs w:val="22"/>
                <w:bdr w:val="none" w:sz="0" w:space="0" w:color="auto"/>
              </w:rPr>
              <w:br/>
              <w:t>Mayor</w:t>
            </w:r>
          </w:p>
        </w:tc>
      </w:tr>
      <w:tr w:rsidR="00E96F04" w:rsidRPr="00E96F04" w14:paraId="7E4B5286" w14:textId="77777777" w:rsidTr="00406135">
        <w:tblPrEx>
          <w:jc w:val="left"/>
          <w:tblCellMar>
            <w:left w:w="108" w:type="dxa"/>
            <w:right w:w="108" w:type="dxa"/>
          </w:tblCellMar>
        </w:tblPrEx>
        <w:trPr>
          <w:gridBefore w:val="1"/>
          <w:gridAfter w:val="1"/>
          <w:wBefore w:w="184" w:type="pct"/>
          <w:wAfter w:w="280" w:type="pct"/>
          <w:trHeight w:val="557"/>
        </w:trPr>
        <w:tc>
          <w:tcPr>
            <w:tcW w:w="1915" w:type="pct"/>
            <w:gridSpan w:val="4"/>
            <w:tcBorders>
              <w:bottom w:val="single" w:sz="4" w:space="0" w:color="auto"/>
            </w:tcBorders>
            <w:shd w:val="clear" w:color="auto" w:fill="auto"/>
          </w:tcPr>
          <w:p w14:paraId="0EF3D80B"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p>
          <w:p w14:paraId="3BB3C5EF"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p>
        </w:tc>
        <w:tc>
          <w:tcPr>
            <w:tcW w:w="636" w:type="pct"/>
            <w:gridSpan w:val="2"/>
            <w:shd w:val="clear" w:color="auto" w:fill="auto"/>
          </w:tcPr>
          <w:p w14:paraId="7ABD348B"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p>
        </w:tc>
        <w:tc>
          <w:tcPr>
            <w:tcW w:w="1984" w:type="pct"/>
            <w:gridSpan w:val="3"/>
            <w:tcBorders>
              <w:bottom w:val="single" w:sz="4" w:space="0" w:color="auto"/>
            </w:tcBorders>
            <w:shd w:val="clear" w:color="auto" w:fill="auto"/>
          </w:tcPr>
          <w:p w14:paraId="4795A6B7"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Cs/>
                <w:szCs w:val="22"/>
                <w:bdr w:val="none" w:sz="0" w:space="0" w:color="auto"/>
              </w:rPr>
            </w:pPr>
          </w:p>
          <w:p w14:paraId="53299BD0"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Cs/>
                <w:szCs w:val="22"/>
                <w:bdr w:val="none" w:sz="0" w:space="0" w:color="auto"/>
              </w:rPr>
            </w:pPr>
          </w:p>
        </w:tc>
      </w:tr>
      <w:tr w:rsidR="00E96F04" w:rsidRPr="00E96F04" w14:paraId="3BBB0974" w14:textId="77777777" w:rsidTr="00406135">
        <w:tblPrEx>
          <w:jc w:val="left"/>
          <w:tblCellMar>
            <w:left w:w="108" w:type="dxa"/>
            <w:right w:w="108" w:type="dxa"/>
          </w:tblCellMar>
        </w:tblPrEx>
        <w:trPr>
          <w:gridBefore w:val="1"/>
          <w:gridAfter w:val="1"/>
          <w:wBefore w:w="184" w:type="pct"/>
          <w:wAfter w:w="280" w:type="pct"/>
        </w:trPr>
        <w:tc>
          <w:tcPr>
            <w:tcW w:w="1915" w:type="pct"/>
            <w:gridSpan w:val="4"/>
            <w:tcBorders>
              <w:top w:val="single" w:sz="4" w:space="0" w:color="auto"/>
            </w:tcBorders>
            <w:shd w:val="clear" w:color="auto" w:fill="auto"/>
          </w:tcPr>
          <w:p w14:paraId="2AA9E853"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p>
        </w:tc>
        <w:tc>
          <w:tcPr>
            <w:tcW w:w="636" w:type="pct"/>
            <w:gridSpan w:val="2"/>
            <w:shd w:val="clear" w:color="auto" w:fill="auto"/>
          </w:tcPr>
          <w:p w14:paraId="5342858D"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p>
        </w:tc>
        <w:tc>
          <w:tcPr>
            <w:tcW w:w="1984" w:type="pct"/>
            <w:gridSpan w:val="3"/>
            <w:tcBorders>
              <w:top w:val="single" w:sz="4" w:space="0" w:color="auto"/>
            </w:tcBorders>
            <w:shd w:val="clear" w:color="auto" w:fill="auto"/>
          </w:tcPr>
          <w:p w14:paraId="3A0A646A"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Cs/>
                <w:szCs w:val="22"/>
                <w:bdr w:val="none" w:sz="0" w:space="0" w:color="auto"/>
              </w:rPr>
            </w:pP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r w:rsidRPr="00E96F04">
              <w:rPr>
                <w:rFonts w:ascii="Calibri" w:eastAsia="Times New Roman" w:hAnsi="Calibri" w:cs="Calibri"/>
                <w:bCs/>
                <w:szCs w:val="22"/>
                <w:bdr w:val="none" w:sz="0" w:space="0" w:color="auto"/>
              </w:rPr>
              <w:softHyphen/>
            </w:r>
          </w:p>
        </w:tc>
      </w:tr>
      <w:tr w:rsidR="00E96F04" w:rsidRPr="00E96F04" w14:paraId="55731069"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116683E8"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p>
        </w:tc>
        <w:tc>
          <w:tcPr>
            <w:tcW w:w="636" w:type="pct"/>
            <w:gridSpan w:val="2"/>
            <w:shd w:val="clear" w:color="auto" w:fill="auto"/>
          </w:tcPr>
          <w:p w14:paraId="24DF09D0"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jc w:val="both"/>
              <w:rPr>
                <w:rFonts w:ascii="Calibri" w:eastAsia="Times New Roman" w:hAnsi="Calibri" w:cs="Calibri"/>
                <w:bCs/>
                <w:szCs w:val="22"/>
                <w:bdr w:val="none" w:sz="0" w:space="0" w:color="auto"/>
              </w:rPr>
            </w:pPr>
          </w:p>
        </w:tc>
        <w:tc>
          <w:tcPr>
            <w:tcW w:w="1984" w:type="pct"/>
            <w:gridSpan w:val="3"/>
            <w:shd w:val="clear" w:color="auto" w:fill="auto"/>
          </w:tcPr>
          <w:p w14:paraId="1B8842B0" w14:textId="77777777" w:rsidR="00E96F04" w:rsidRPr="00E96F04" w:rsidRDefault="00E96F04" w:rsidP="00E96F0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54"/>
              <w:contextualSpacing/>
              <w:rPr>
                <w:rFonts w:ascii="Calibri" w:eastAsia="Times New Roman" w:hAnsi="Calibri" w:cs="Calibri"/>
                <w:bCs/>
                <w:szCs w:val="22"/>
                <w:bdr w:val="none" w:sz="0" w:space="0" w:color="auto"/>
              </w:rPr>
            </w:pPr>
            <w:r w:rsidRPr="00E96F04">
              <w:rPr>
                <w:rFonts w:ascii="Calibri" w:eastAsia="Times New Roman" w:hAnsi="Calibri" w:cs="Calibri"/>
                <w:b/>
                <w:szCs w:val="22"/>
                <w:bdr w:val="none" w:sz="0" w:space="0" w:color="auto"/>
              </w:rPr>
              <w:t>Date:</w:t>
            </w:r>
            <w:r w:rsidRPr="00E96F04">
              <w:rPr>
                <w:rFonts w:ascii="Calibri" w:eastAsia="Times New Roman" w:hAnsi="Calibri" w:cs="Calibri"/>
                <w:bCs/>
                <w:szCs w:val="22"/>
                <w:bdr w:val="none" w:sz="0" w:space="0" w:color="auto"/>
              </w:rPr>
              <w:t xml:space="preserve"> _______________________</w:t>
            </w:r>
          </w:p>
        </w:tc>
      </w:tr>
      <w:bookmarkEnd w:id="1"/>
    </w:tbl>
    <w:p w14:paraId="5AB9082B" w14:textId="77777777" w:rsidR="00E96F04" w:rsidRPr="004261C0" w:rsidRDefault="00E96F04" w:rsidP="00DD229E">
      <w:pPr>
        <w:rPr>
          <w:rFonts w:ascii="Calibri" w:hAnsi="Calibri" w:cs="Calibri"/>
        </w:rPr>
      </w:pPr>
    </w:p>
    <w:sectPr w:rsidR="00E96F04" w:rsidRPr="004261C0" w:rsidSect="004261C0">
      <w:headerReference w:type="default" r:id="rId7"/>
      <w:footerReference w:type="default" r:id="rId8"/>
      <w:pgSz w:w="12240" w:h="15840"/>
      <w:pgMar w:top="1166" w:right="1008" w:bottom="720"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7A1B" w14:textId="77777777" w:rsidR="00D46214" w:rsidRDefault="00D46214">
      <w:r>
        <w:separator/>
      </w:r>
    </w:p>
  </w:endnote>
  <w:endnote w:type="continuationSeparator" w:id="0">
    <w:p w14:paraId="0A05613A" w14:textId="77777777" w:rsidR="00D46214" w:rsidRDefault="00D4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2742" w14:textId="77777777" w:rsidR="009475D0" w:rsidRDefault="009475D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9750" w14:textId="77777777" w:rsidR="00D46214" w:rsidRDefault="00D46214">
      <w:r>
        <w:separator/>
      </w:r>
    </w:p>
  </w:footnote>
  <w:footnote w:type="continuationSeparator" w:id="0">
    <w:p w14:paraId="74DD7D8D" w14:textId="77777777" w:rsidR="00D46214" w:rsidRDefault="00D4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D258" w14:textId="77777777" w:rsidR="009475D0" w:rsidRDefault="009475D0">
    <w:pPr>
      <w:pStyle w:val="Header"/>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B7C6B"/>
    <w:multiLevelType w:val="hybridMultilevel"/>
    <w:tmpl w:val="D278C148"/>
    <w:numStyleLink w:val="ImportedStyle1"/>
  </w:abstractNum>
  <w:abstractNum w:abstractNumId="1" w15:restartNumberingAfterBreak="0">
    <w:nsid w:val="7AA42D88"/>
    <w:multiLevelType w:val="hybridMultilevel"/>
    <w:tmpl w:val="D278C148"/>
    <w:styleLink w:val="ImportedStyle1"/>
    <w:lvl w:ilvl="0" w:tplc="838654A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A2FB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789F0A">
      <w:start w:val="1"/>
      <w:numFmt w:val="decimal"/>
      <w:lvlText w:val="%3."/>
      <w:lvlJc w:val="left"/>
      <w:pPr>
        <w:ind w:left="223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FFE0D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8CFA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16FC1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D8C66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98E8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22D3F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56356369">
    <w:abstractNumId w:val="1"/>
  </w:num>
  <w:num w:numId="2" w16cid:durableId="1793743068">
    <w:abstractNumId w:val="0"/>
  </w:num>
  <w:num w:numId="3" w16cid:durableId="122232113">
    <w:abstractNumId w:val="0"/>
    <w:lvlOverride w:ilvl="0">
      <w:lvl w:ilvl="0" w:tplc="8AA207A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1FE59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50CA5E">
        <w:start w:val="1"/>
        <w:numFmt w:val="lowerRoman"/>
        <w:lvlText w:val="%3."/>
        <w:lvlJc w:val="left"/>
        <w:pPr>
          <w:ind w:left="22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8666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46076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06187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0252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2183B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468DC34">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D0"/>
    <w:rsid w:val="00162E38"/>
    <w:rsid w:val="00264D19"/>
    <w:rsid w:val="003D59B3"/>
    <w:rsid w:val="004261C0"/>
    <w:rsid w:val="00524714"/>
    <w:rsid w:val="006951C0"/>
    <w:rsid w:val="006E6862"/>
    <w:rsid w:val="009475D0"/>
    <w:rsid w:val="00A67707"/>
    <w:rsid w:val="00B50325"/>
    <w:rsid w:val="00B82B3C"/>
    <w:rsid w:val="00D46214"/>
    <w:rsid w:val="00DD229E"/>
    <w:rsid w:val="00E9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ED95"/>
  <w15:docId w15:val="{C5BEDD79-18A9-47D0-A73D-042A83AC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kern w:val="2"/>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kern w:val="2"/>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William Bray</cp:lastModifiedBy>
  <cp:revision>3</cp:revision>
  <dcterms:created xsi:type="dcterms:W3CDTF">2026-02-19T21:05:00Z</dcterms:created>
  <dcterms:modified xsi:type="dcterms:W3CDTF">2026-02-19T21:08:00Z</dcterms:modified>
</cp:coreProperties>
</file>